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126536" w14:textId="77777777" w:rsidR="00191A05" w:rsidRPr="00892ED0" w:rsidRDefault="00191A05" w:rsidP="00191A05">
      <w:pPr>
        <w:spacing w:after="74" w:line="259" w:lineRule="auto"/>
        <w:ind w:right="1"/>
        <w:jc w:val="center"/>
        <w:rPr>
          <w:rFonts w:ascii="Lato" w:hAnsi="Lato" w:cs="Arial"/>
          <w:bCs/>
          <w:color w:val="auto"/>
        </w:rPr>
      </w:pPr>
      <w:bookmarkStart w:id="0" w:name="_Hlk104810528"/>
      <w:r w:rsidRPr="00892ED0">
        <w:rPr>
          <w:rFonts w:ascii="Lato" w:eastAsia="Century Gothic" w:hAnsi="Lato" w:cs="Arial"/>
          <w:bCs/>
          <w:color w:val="auto"/>
          <w:sz w:val="51"/>
        </w:rPr>
        <w:t xml:space="preserve">SZCZEGÓŁOWA </w:t>
      </w:r>
    </w:p>
    <w:p w14:paraId="14C193EC" w14:textId="77777777" w:rsidR="00191A05" w:rsidRPr="00892ED0" w:rsidRDefault="00191A05" w:rsidP="00191A05">
      <w:pPr>
        <w:spacing w:after="71" w:line="259" w:lineRule="auto"/>
        <w:ind w:left="0" w:right="1143" w:firstLine="0"/>
        <w:jc w:val="right"/>
        <w:rPr>
          <w:rFonts w:ascii="Lato" w:hAnsi="Lato" w:cs="Arial"/>
          <w:bCs/>
          <w:color w:val="auto"/>
        </w:rPr>
      </w:pPr>
      <w:r w:rsidRPr="00892ED0">
        <w:rPr>
          <w:rFonts w:ascii="Lato" w:eastAsia="Century Gothic" w:hAnsi="Lato" w:cs="Arial"/>
          <w:bCs/>
          <w:color w:val="auto"/>
          <w:sz w:val="51"/>
        </w:rPr>
        <w:t xml:space="preserve">SPECYFIKACJA TECHNICZNA  </w:t>
      </w:r>
    </w:p>
    <w:p w14:paraId="61548D43" w14:textId="77777777" w:rsidR="00191A05" w:rsidRPr="00892ED0" w:rsidRDefault="00191A05" w:rsidP="00191A05">
      <w:pPr>
        <w:spacing w:after="0" w:line="259" w:lineRule="auto"/>
        <w:ind w:left="768" w:firstLine="0"/>
        <w:jc w:val="left"/>
        <w:rPr>
          <w:rFonts w:ascii="Lato" w:hAnsi="Lato" w:cs="Arial"/>
          <w:bCs/>
          <w:color w:val="auto"/>
        </w:rPr>
      </w:pPr>
      <w:r w:rsidRPr="00892ED0">
        <w:rPr>
          <w:rFonts w:ascii="Lato" w:eastAsia="Century Gothic" w:hAnsi="Lato" w:cs="Arial"/>
          <w:bCs/>
          <w:color w:val="auto"/>
          <w:sz w:val="51"/>
        </w:rPr>
        <w:t xml:space="preserve">WYKONANIA I ODBIORU ROBÓT </w:t>
      </w:r>
    </w:p>
    <w:p w14:paraId="5259B24C" w14:textId="66560984" w:rsidR="00191A05" w:rsidRPr="00892ED0" w:rsidRDefault="00191A05">
      <w:pPr>
        <w:spacing w:after="19" w:line="268" w:lineRule="auto"/>
        <w:ind w:left="1233" w:right="1225"/>
        <w:jc w:val="center"/>
        <w:rPr>
          <w:rFonts w:ascii="Lato" w:hAnsi="Lato"/>
          <w:bCs/>
          <w:color w:val="auto"/>
          <w:sz w:val="36"/>
        </w:rPr>
      </w:pPr>
    </w:p>
    <w:p w14:paraId="65EC6B16" w14:textId="1C7BA412" w:rsidR="00191A05" w:rsidRPr="00892ED0" w:rsidRDefault="00191A05" w:rsidP="00191A05">
      <w:pPr>
        <w:spacing w:after="0" w:line="240" w:lineRule="auto"/>
        <w:ind w:left="3842" w:right="3844" w:hanging="302"/>
        <w:jc w:val="center"/>
        <w:rPr>
          <w:rFonts w:ascii="Lato" w:hAnsi="Lato" w:cs="Arial"/>
          <w:bCs/>
          <w:color w:val="auto"/>
        </w:rPr>
      </w:pPr>
      <w:r w:rsidRPr="00892ED0">
        <w:rPr>
          <w:rFonts w:ascii="Lato" w:eastAsia="Century Gothic" w:hAnsi="Lato" w:cs="Arial"/>
          <w:bCs/>
          <w:color w:val="auto"/>
          <w:sz w:val="47"/>
        </w:rPr>
        <w:t xml:space="preserve">SST </w:t>
      </w:r>
      <w:r w:rsidR="00042354" w:rsidRPr="00892ED0">
        <w:rPr>
          <w:rFonts w:ascii="Lato" w:eastAsia="Century Gothic" w:hAnsi="Lato" w:cs="Arial"/>
          <w:bCs/>
          <w:color w:val="auto"/>
          <w:sz w:val="47"/>
        </w:rPr>
        <w:t>2</w:t>
      </w:r>
      <w:r w:rsidRPr="00892ED0">
        <w:rPr>
          <w:rFonts w:ascii="Lato" w:eastAsia="Century Gothic" w:hAnsi="Lato" w:cs="Arial"/>
          <w:bCs/>
          <w:color w:val="auto"/>
          <w:sz w:val="47"/>
        </w:rPr>
        <w:t>.0</w:t>
      </w:r>
    </w:p>
    <w:bookmarkEnd w:id="0"/>
    <w:p w14:paraId="0DB7F987" w14:textId="77777777" w:rsidR="00191A05" w:rsidRPr="00892ED0" w:rsidRDefault="00191A05">
      <w:pPr>
        <w:spacing w:after="19" w:line="268" w:lineRule="auto"/>
        <w:ind w:left="1233" w:right="1225"/>
        <w:jc w:val="center"/>
        <w:rPr>
          <w:rFonts w:ascii="Lato" w:hAnsi="Lato"/>
          <w:bCs/>
          <w:color w:val="auto"/>
          <w:sz w:val="36"/>
        </w:rPr>
      </w:pPr>
    </w:p>
    <w:p w14:paraId="4C7BF66B" w14:textId="4AA9570A" w:rsidR="00191A05" w:rsidRPr="00892ED0" w:rsidRDefault="00191A05">
      <w:pPr>
        <w:spacing w:after="19" w:line="268" w:lineRule="auto"/>
        <w:ind w:left="1233" w:right="1225"/>
        <w:jc w:val="center"/>
        <w:rPr>
          <w:rFonts w:ascii="Lato" w:hAnsi="Lato" w:cs="Arial"/>
          <w:bCs/>
          <w:color w:val="auto"/>
          <w:sz w:val="36"/>
        </w:rPr>
      </w:pPr>
      <w:r w:rsidRPr="00892ED0">
        <w:rPr>
          <w:rFonts w:ascii="Lato" w:hAnsi="Lato" w:cs="Arial"/>
          <w:bCs/>
          <w:color w:val="auto"/>
          <w:sz w:val="36"/>
        </w:rPr>
        <w:t>Kod CPV 45262300-4</w:t>
      </w:r>
    </w:p>
    <w:p w14:paraId="13D8E79A" w14:textId="3CC42994" w:rsidR="00163219" w:rsidRPr="00892ED0" w:rsidRDefault="002C2B59">
      <w:pPr>
        <w:spacing w:after="19" w:line="268" w:lineRule="auto"/>
        <w:ind w:left="1233" w:right="1225"/>
        <w:jc w:val="center"/>
        <w:rPr>
          <w:rFonts w:ascii="Lato" w:hAnsi="Lato" w:cs="Arial"/>
          <w:bCs/>
          <w:color w:val="auto"/>
        </w:rPr>
      </w:pPr>
      <w:r w:rsidRPr="00892ED0">
        <w:rPr>
          <w:rFonts w:ascii="Lato" w:hAnsi="Lato" w:cs="Arial"/>
          <w:bCs/>
          <w:color w:val="auto"/>
          <w:sz w:val="36"/>
        </w:rPr>
        <w:t>BETONOWANIE</w:t>
      </w:r>
    </w:p>
    <w:p w14:paraId="4CE165D9" w14:textId="3AE10B94" w:rsidR="00191A05" w:rsidRPr="00892ED0" w:rsidRDefault="00191A05" w:rsidP="00191A05">
      <w:pPr>
        <w:spacing w:after="0" w:line="268" w:lineRule="auto"/>
        <w:ind w:left="1233" w:right="1226"/>
        <w:jc w:val="center"/>
        <w:rPr>
          <w:rFonts w:ascii="Lato" w:hAnsi="Lato" w:cs="Arial"/>
          <w:bCs/>
          <w:color w:val="auto"/>
        </w:rPr>
      </w:pPr>
      <w:r w:rsidRPr="00892ED0">
        <w:rPr>
          <w:rFonts w:ascii="Lato" w:hAnsi="Lato" w:cs="Arial"/>
          <w:bCs/>
          <w:color w:val="auto"/>
          <w:sz w:val="36"/>
        </w:rPr>
        <w:t>Kod CPV 45262311-4</w:t>
      </w:r>
    </w:p>
    <w:p w14:paraId="3B08F972" w14:textId="77777777" w:rsidR="005839CE" w:rsidRPr="00892ED0" w:rsidRDefault="002C2B59">
      <w:pPr>
        <w:spacing w:after="19" w:line="268" w:lineRule="auto"/>
        <w:ind w:left="1233" w:right="1227"/>
        <w:jc w:val="center"/>
        <w:rPr>
          <w:rFonts w:ascii="Lato" w:hAnsi="Lato" w:cs="Arial"/>
          <w:bCs/>
          <w:color w:val="auto"/>
          <w:sz w:val="36"/>
        </w:rPr>
      </w:pPr>
      <w:r w:rsidRPr="00892ED0">
        <w:rPr>
          <w:rFonts w:ascii="Lato" w:hAnsi="Lato" w:cs="Arial"/>
          <w:bCs/>
          <w:color w:val="auto"/>
          <w:sz w:val="36"/>
        </w:rPr>
        <w:t xml:space="preserve">BETONOWANIE KONSTRUKCJI </w:t>
      </w:r>
    </w:p>
    <w:p w14:paraId="777C78B3" w14:textId="77777777" w:rsidR="00191A05" w:rsidRPr="00892ED0" w:rsidRDefault="00191A05">
      <w:pPr>
        <w:spacing w:after="728" w:line="529" w:lineRule="auto"/>
        <w:ind w:right="1"/>
        <w:jc w:val="center"/>
        <w:rPr>
          <w:rFonts w:ascii="Lato" w:hAnsi="Lato"/>
          <w:color w:val="auto"/>
        </w:rPr>
      </w:pPr>
    </w:p>
    <w:p w14:paraId="1FFABF21" w14:textId="77777777" w:rsidR="00191A05" w:rsidRPr="00892ED0" w:rsidRDefault="00191A05">
      <w:pPr>
        <w:spacing w:after="728" w:line="529" w:lineRule="auto"/>
        <w:ind w:right="1"/>
        <w:jc w:val="center"/>
        <w:rPr>
          <w:rFonts w:ascii="Lato" w:hAnsi="Lato"/>
          <w:color w:val="auto"/>
        </w:rPr>
      </w:pPr>
    </w:p>
    <w:p w14:paraId="4EA8A3B5" w14:textId="77777777" w:rsidR="00191A05" w:rsidRPr="00892ED0" w:rsidRDefault="00191A05">
      <w:pPr>
        <w:spacing w:after="728" w:line="529" w:lineRule="auto"/>
        <w:ind w:right="1"/>
        <w:jc w:val="center"/>
        <w:rPr>
          <w:rFonts w:ascii="Lato" w:hAnsi="Lato"/>
          <w:color w:val="auto"/>
        </w:rPr>
      </w:pPr>
    </w:p>
    <w:p w14:paraId="47FF01A6" w14:textId="77777777" w:rsidR="00191A05" w:rsidRPr="00892ED0" w:rsidRDefault="00191A05">
      <w:pPr>
        <w:spacing w:after="728" w:line="529" w:lineRule="auto"/>
        <w:ind w:right="1"/>
        <w:jc w:val="center"/>
        <w:rPr>
          <w:rFonts w:ascii="Lato" w:hAnsi="Lato"/>
          <w:color w:val="auto"/>
        </w:rPr>
      </w:pPr>
    </w:p>
    <w:p w14:paraId="1B2F79ED" w14:textId="77777777" w:rsidR="00191A05" w:rsidRPr="00892ED0" w:rsidRDefault="00191A05">
      <w:pPr>
        <w:spacing w:after="728" w:line="529" w:lineRule="auto"/>
        <w:ind w:right="1"/>
        <w:jc w:val="center"/>
        <w:rPr>
          <w:rFonts w:ascii="Lato" w:hAnsi="Lato"/>
          <w:color w:val="auto"/>
        </w:rPr>
      </w:pPr>
    </w:p>
    <w:p w14:paraId="5240347C" w14:textId="77777777" w:rsidR="00191A05" w:rsidRPr="00892ED0" w:rsidRDefault="00191A05">
      <w:pPr>
        <w:spacing w:after="728" w:line="529" w:lineRule="auto"/>
        <w:ind w:right="1"/>
        <w:jc w:val="center"/>
        <w:rPr>
          <w:rFonts w:ascii="Lato" w:hAnsi="Lato"/>
          <w:color w:val="auto"/>
        </w:rPr>
      </w:pPr>
    </w:p>
    <w:p w14:paraId="6641E591" w14:textId="06FF3343" w:rsidR="00191A05" w:rsidRPr="00892ED0" w:rsidRDefault="00051E5C" w:rsidP="00051E5C">
      <w:pPr>
        <w:tabs>
          <w:tab w:val="left" w:pos="8490"/>
        </w:tabs>
        <w:spacing w:after="728" w:line="529" w:lineRule="auto"/>
        <w:ind w:right="1"/>
        <w:jc w:val="left"/>
        <w:rPr>
          <w:rFonts w:ascii="Lato" w:hAnsi="Lato"/>
          <w:color w:val="auto"/>
        </w:rPr>
      </w:pPr>
      <w:r w:rsidRPr="00892ED0">
        <w:rPr>
          <w:rFonts w:ascii="Lato" w:hAnsi="Lato"/>
          <w:color w:val="auto"/>
        </w:rPr>
        <w:tab/>
      </w:r>
      <w:r w:rsidRPr="00892ED0">
        <w:rPr>
          <w:rFonts w:ascii="Lato" w:hAnsi="Lato"/>
          <w:color w:val="auto"/>
        </w:rPr>
        <w:tab/>
      </w:r>
    </w:p>
    <w:p w14:paraId="5A39E0C3" w14:textId="042A4FBE" w:rsidR="00163219" w:rsidRPr="00892ED0" w:rsidRDefault="002C2B59" w:rsidP="009672E7">
      <w:pPr>
        <w:spacing w:after="728" w:line="529" w:lineRule="auto"/>
        <w:ind w:right="1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892ED0">
        <w:rPr>
          <w:rFonts w:ascii="Lato" w:hAnsi="Lato" w:cs="Arial"/>
          <w:b/>
          <w:bCs/>
          <w:color w:val="auto"/>
          <w:sz w:val="20"/>
          <w:szCs w:val="20"/>
        </w:rPr>
        <w:lastRenderedPageBreak/>
        <w:t>SPIS TREŚCI</w:t>
      </w:r>
    </w:p>
    <w:p w14:paraId="79707BBE" w14:textId="77777777" w:rsidR="00163219" w:rsidRPr="00892ED0" w:rsidRDefault="002C2B59">
      <w:pPr>
        <w:numPr>
          <w:ilvl w:val="0"/>
          <w:numId w:val="1"/>
        </w:numPr>
        <w:ind w:right="0" w:hanging="370"/>
        <w:rPr>
          <w:rFonts w:ascii="Lato" w:hAnsi="Lato" w:cs="Arial"/>
          <w:color w:val="auto"/>
          <w:sz w:val="20"/>
          <w:szCs w:val="20"/>
        </w:rPr>
      </w:pPr>
      <w:r w:rsidRPr="00892ED0">
        <w:rPr>
          <w:rFonts w:ascii="Lato" w:hAnsi="Lato" w:cs="Arial"/>
          <w:color w:val="auto"/>
          <w:sz w:val="20"/>
          <w:szCs w:val="20"/>
        </w:rPr>
        <w:t xml:space="preserve">CZĘŚĆ OGÓLNA </w:t>
      </w:r>
    </w:p>
    <w:p w14:paraId="6B481F3B" w14:textId="77777777" w:rsidR="00163219" w:rsidRPr="00892ED0" w:rsidRDefault="002C2B59">
      <w:pPr>
        <w:numPr>
          <w:ilvl w:val="0"/>
          <w:numId w:val="1"/>
        </w:numPr>
        <w:ind w:right="0" w:hanging="370"/>
        <w:rPr>
          <w:rFonts w:ascii="Lato" w:hAnsi="Lato" w:cs="Arial"/>
          <w:color w:val="auto"/>
          <w:sz w:val="20"/>
          <w:szCs w:val="20"/>
        </w:rPr>
      </w:pPr>
      <w:r w:rsidRPr="00892ED0">
        <w:rPr>
          <w:rFonts w:ascii="Lato" w:hAnsi="Lato" w:cs="Arial"/>
          <w:color w:val="auto"/>
          <w:sz w:val="20"/>
          <w:szCs w:val="20"/>
        </w:rPr>
        <w:t xml:space="preserve">WYMAGANIA DOTYCZĄCE WŁAŚCIWOŚCI MATERIAŁÓW </w:t>
      </w:r>
    </w:p>
    <w:p w14:paraId="48E31A56" w14:textId="77777777" w:rsidR="00163219" w:rsidRPr="00892ED0" w:rsidRDefault="002C2B59">
      <w:pPr>
        <w:numPr>
          <w:ilvl w:val="0"/>
          <w:numId w:val="1"/>
        </w:numPr>
        <w:ind w:right="0" w:hanging="370"/>
        <w:rPr>
          <w:rFonts w:ascii="Lato" w:hAnsi="Lato" w:cs="Arial"/>
          <w:color w:val="auto"/>
          <w:sz w:val="20"/>
          <w:szCs w:val="20"/>
        </w:rPr>
      </w:pPr>
      <w:r w:rsidRPr="00892ED0">
        <w:rPr>
          <w:rFonts w:ascii="Lato" w:hAnsi="Lato" w:cs="Arial"/>
          <w:color w:val="auto"/>
          <w:sz w:val="20"/>
          <w:szCs w:val="20"/>
        </w:rPr>
        <w:t xml:space="preserve">WYMAGANIA DOTYCZĄCE SPRZĘTU, MASZYN I NARZĘDZI </w:t>
      </w:r>
    </w:p>
    <w:p w14:paraId="4B76317B" w14:textId="77777777" w:rsidR="00163219" w:rsidRPr="00892ED0" w:rsidRDefault="002C2B59">
      <w:pPr>
        <w:numPr>
          <w:ilvl w:val="0"/>
          <w:numId w:val="1"/>
        </w:numPr>
        <w:ind w:right="0" w:hanging="370"/>
        <w:rPr>
          <w:rFonts w:ascii="Lato" w:hAnsi="Lato" w:cs="Arial"/>
          <w:color w:val="auto"/>
          <w:sz w:val="20"/>
          <w:szCs w:val="20"/>
        </w:rPr>
      </w:pPr>
      <w:r w:rsidRPr="00892ED0">
        <w:rPr>
          <w:rFonts w:ascii="Lato" w:hAnsi="Lato" w:cs="Arial"/>
          <w:color w:val="auto"/>
          <w:sz w:val="20"/>
          <w:szCs w:val="20"/>
        </w:rPr>
        <w:t xml:space="preserve">WYMAGANIA DOTYCZĄCE TRANSPORTU </w:t>
      </w:r>
    </w:p>
    <w:p w14:paraId="1055062A" w14:textId="77777777" w:rsidR="00163219" w:rsidRPr="00892ED0" w:rsidRDefault="002C2B59">
      <w:pPr>
        <w:numPr>
          <w:ilvl w:val="0"/>
          <w:numId w:val="1"/>
        </w:numPr>
        <w:ind w:right="0" w:hanging="370"/>
        <w:rPr>
          <w:rFonts w:ascii="Lato" w:hAnsi="Lato" w:cs="Arial"/>
          <w:color w:val="auto"/>
          <w:sz w:val="20"/>
          <w:szCs w:val="20"/>
        </w:rPr>
      </w:pPr>
      <w:r w:rsidRPr="00892ED0">
        <w:rPr>
          <w:rFonts w:ascii="Lato" w:hAnsi="Lato" w:cs="Arial"/>
          <w:color w:val="auto"/>
          <w:sz w:val="20"/>
          <w:szCs w:val="20"/>
        </w:rPr>
        <w:t xml:space="preserve">WYMAGANIA DOTYCZĄCE WYKONANIA ROBÓT </w:t>
      </w:r>
    </w:p>
    <w:p w14:paraId="28DA41DD" w14:textId="77777777" w:rsidR="00163219" w:rsidRPr="00892ED0" w:rsidRDefault="002C2B59">
      <w:pPr>
        <w:numPr>
          <w:ilvl w:val="0"/>
          <w:numId w:val="1"/>
        </w:numPr>
        <w:ind w:right="0" w:hanging="370"/>
        <w:rPr>
          <w:rFonts w:ascii="Lato" w:hAnsi="Lato" w:cs="Arial"/>
          <w:color w:val="auto"/>
          <w:sz w:val="20"/>
          <w:szCs w:val="20"/>
        </w:rPr>
      </w:pPr>
      <w:r w:rsidRPr="00892ED0">
        <w:rPr>
          <w:rFonts w:ascii="Lato" w:hAnsi="Lato" w:cs="Arial"/>
          <w:color w:val="auto"/>
          <w:sz w:val="20"/>
          <w:szCs w:val="20"/>
        </w:rPr>
        <w:t xml:space="preserve">KONTROLA JAKOŚCI ROBÓT </w:t>
      </w:r>
    </w:p>
    <w:p w14:paraId="581D957F" w14:textId="77777777" w:rsidR="00163219" w:rsidRPr="00892ED0" w:rsidRDefault="002C2B59">
      <w:pPr>
        <w:numPr>
          <w:ilvl w:val="0"/>
          <w:numId w:val="1"/>
        </w:numPr>
        <w:ind w:right="0" w:hanging="370"/>
        <w:rPr>
          <w:rFonts w:ascii="Lato" w:hAnsi="Lato" w:cs="Arial"/>
          <w:color w:val="auto"/>
          <w:sz w:val="20"/>
          <w:szCs w:val="20"/>
        </w:rPr>
      </w:pPr>
      <w:r w:rsidRPr="00892ED0">
        <w:rPr>
          <w:rFonts w:ascii="Lato" w:hAnsi="Lato" w:cs="Arial"/>
          <w:color w:val="auto"/>
          <w:sz w:val="20"/>
          <w:szCs w:val="20"/>
        </w:rPr>
        <w:t>WYMAGANIA DOTYCZĄCE PRZEDMIARU I OBMIARU ROBÓT</w:t>
      </w:r>
    </w:p>
    <w:p w14:paraId="01FD1DA8" w14:textId="77777777" w:rsidR="00163219" w:rsidRPr="00892ED0" w:rsidRDefault="002C2B59">
      <w:pPr>
        <w:numPr>
          <w:ilvl w:val="0"/>
          <w:numId w:val="1"/>
        </w:numPr>
        <w:ind w:right="0" w:hanging="370"/>
        <w:rPr>
          <w:rFonts w:ascii="Lato" w:hAnsi="Lato" w:cs="Arial"/>
          <w:color w:val="auto"/>
          <w:sz w:val="20"/>
          <w:szCs w:val="20"/>
        </w:rPr>
      </w:pPr>
      <w:r w:rsidRPr="00892ED0">
        <w:rPr>
          <w:rFonts w:ascii="Lato" w:hAnsi="Lato" w:cs="Arial"/>
          <w:color w:val="auto"/>
          <w:sz w:val="20"/>
          <w:szCs w:val="20"/>
        </w:rPr>
        <w:t xml:space="preserve">SPOSÓB ODBIORU ROBÓT </w:t>
      </w:r>
    </w:p>
    <w:p w14:paraId="66675473" w14:textId="77777777" w:rsidR="00163219" w:rsidRPr="00892ED0" w:rsidRDefault="002C2B59">
      <w:pPr>
        <w:numPr>
          <w:ilvl w:val="0"/>
          <w:numId w:val="1"/>
        </w:numPr>
        <w:spacing w:after="0"/>
        <w:ind w:right="0" w:hanging="370"/>
        <w:rPr>
          <w:rFonts w:ascii="Lato" w:hAnsi="Lato" w:cs="Arial"/>
          <w:color w:val="auto"/>
          <w:sz w:val="20"/>
          <w:szCs w:val="20"/>
        </w:rPr>
      </w:pPr>
      <w:r w:rsidRPr="00892ED0">
        <w:rPr>
          <w:rFonts w:ascii="Lato" w:hAnsi="Lato" w:cs="Arial"/>
          <w:color w:val="auto"/>
          <w:sz w:val="20"/>
          <w:szCs w:val="20"/>
        </w:rPr>
        <w:t xml:space="preserve">PODSTAWA ROZLICZENIA ROBÓT PODSTAWOWYCH, TYMCZASOWYCH I PRACTOWARZYSZĄCYCH </w:t>
      </w:r>
    </w:p>
    <w:p w14:paraId="251FB63E" w14:textId="77777777" w:rsidR="00163219" w:rsidRPr="00892ED0" w:rsidRDefault="002C2B59">
      <w:pPr>
        <w:numPr>
          <w:ilvl w:val="0"/>
          <w:numId w:val="1"/>
        </w:numPr>
        <w:spacing w:after="1223"/>
        <w:ind w:right="0" w:hanging="370"/>
        <w:rPr>
          <w:rFonts w:ascii="Lato" w:hAnsi="Lato" w:cs="Arial"/>
          <w:color w:val="auto"/>
          <w:sz w:val="20"/>
          <w:szCs w:val="20"/>
        </w:rPr>
      </w:pPr>
      <w:r w:rsidRPr="00892ED0">
        <w:rPr>
          <w:rFonts w:ascii="Lato" w:hAnsi="Lato" w:cs="Arial"/>
          <w:color w:val="auto"/>
          <w:sz w:val="20"/>
          <w:szCs w:val="20"/>
        </w:rPr>
        <w:t xml:space="preserve">DOKUMENTY ODNIESIENIA </w:t>
      </w:r>
    </w:p>
    <w:p w14:paraId="4C9F39AC" w14:textId="77777777" w:rsidR="00163219" w:rsidRPr="00892ED0" w:rsidRDefault="002C2B59">
      <w:pPr>
        <w:ind w:left="-5" w:right="0"/>
        <w:rPr>
          <w:rFonts w:ascii="Lato" w:hAnsi="Lato" w:cs="Arial"/>
          <w:b/>
          <w:bCs/>
          <w:color w:val="auto"/>
        </w:rPr>
      </w:pPr>
      <w:r w:rsidRPr="00892ED0">
        <w:rPr>
          <w:rFonts w:ascii="Lato" w:hAnsi="Lato" w:cs="Arial"/>
          <w:b/>
          <w:bCs/>
          <w:color w:val="auto"/>
        </w:rPr>
        <w:t>Najważniejsze oznaczenia i skróty:</w:t>
      </w:r>
    </w:p>
    <w:p w14:paraId="13744A76" w14:textId="77777777" w:rsidR="00163219" w:rsidRPr="00892ED0" w:rsidRDefault="002C2B59">
      <w:pPr>
        <w:ind w:left="-5" w:right="0"/>
        <w:rPr>
          <w:rFonts w:ascii="Lato" w:hAnsi="Lato" w:cs="Arial"/>
          <w:b/>
          <w:bCs/>
          <w:color w:val="auto"/>
        </w:rPr>
      </w:pPr>
      <w:r w:rsidRPr="00892ED0">
        <w:rPr>
          <w:rFonts w:ascii="Lato" w:hAnsi="Lato" w:cs="Arial"/>
          <w:b/>
          <w:bCs/>
          <w:color w:val="auto"/>
        </w:rPr>
        <w:t>ST – Specyfikacja Techniczna</w:t>
      </w:r>
    </w:p>
    <w:p w14:paraId="6F595593" w14:textId="77777777" w:rsidR="00163219" w:rsidRPr="00892ED0" w:rsidRDefault="002C2B59">
      <w:pPr>
        <w:ind w:left="-5" w:right="0"/>
        <w:rPr>
          <w:rFonts w:ascii="Lato" w:hAnsi="Lato" w:cs="Arial"/>
          <w:b/>
          <w:bCs/>
          <w:color w:val="auto"/>
        </w:rPr>
      </w:pPr>
      <w:r w:rsidRPr="00892ED0">
        <w:rPr>
          <w:rFonts w:ascii="Lato" w:hAnsi="Lato" w:cs="Arial"/>
          <w:b/>
          <w:bCs/>
          <w:color w:val="auto"/>
        </w:rPr>
        <w:t>SST – Szczegółowa Specyfikacja Techniczna</w:t>
      </w:r>
    </w:p>
    <w:p w14:paraId="5134D7E5" w14:textId="77777777" w:rsidR="00163219" w:rsidRPr="00892ED0" w:rsidRDefault="002C2B59">
      <w:pPr>
        <w:ind w:left="-5" w:right="0"/>
        <w:rPr>
          <w:rFonts w:ascii="Lato" w:hAnsi="Lato" w:cs="Arial"/>
          <w:b/>
          <w:bCs/>
          <w:color w:val="auto"/>
        </w:rPr>
      </w:pPr>
      <w:r w:rsidRPr="00892ED0">
        <w:rPr>
          <w:rFonts w:ascii="Lato" w:hAnsi="Lato" w:cs="Arial"/>
          <w:b/>
          <w:bCs/>
          <w:color w:val="auto"/>
        </w:rPr>
        <w:t>ITB – Instytut Techniki Budowlanej</w:t>
      </w:r>
    </w:p>
    <w:p w14:paraId="734B50D1" w14:textId="77777777" w:rsidR="00163219" w:rsidRPr="003E4273" w:rsidRDefault="002C2B59">
      <w:pPr>
        <w:ind w:left="-5" w:right="0"/>
        <w:rPr>
          <w:rFonts w:ascii="Lato" w:hAnsi="Lato"/>
          <w:color w:val="auto"/>
          <w:sz w:val="20"/>
          <w:szCs w:val="20"/>
        </w:rPr>
      </w:pPr>
      <w:r w:rsidRPr="00892ED0">
        <w:rPr>
          <w:rFonts w:ascii="Lato" w:hAnsi="Lato" w:cs="Arial"/>
          <w:b/>
          <w:bCs/>
          <w:color w:val="auto"/>
        </w:rPr>
        <w:t>PZJ – Program Zabezpieczenia Jakości</w:t>
      </w:r>
      <w:r w:rsidRPr="00892ED0">
        <w:rPr>
          <w:rFonts w:ascii="Lato" w:hAnsi="Lato"/>
          <w:color w:val="auto"/>
        </w:rPr>
        <w:br w:type="page"/>
      </w:r>
    </w:p>
    <w:p w14:paraId="2B685FF5" w14:textId="0FE5E9E5" w:rsidR="00163219" w:rsidRPr="003E4273" w:rsidRDefault="002C2B59" w:rsidP="00191A05">
      <w:pPr>
        <w:numPr>
          <w:ilvl w:val="0"/>
          <w:numId w:val="2"/>
        </w:numPr>
        <w:spacing w:after="0" w:line="248" w:lineRule="auto"/>
        <w:ind w:right="0" w:hanging="451"/>
        <w:rPr>
          <w:rFonts w:ascii="Lato" w:hAnsi="Lato" w:cs="Arial"/>
          <w:b/>
          <w:bCs/>
          <w:color w:val="auto"/>
          <w:sz w:val="20"/>
          <w:szCs w:val="20"/>
        </w:rPr>
      </w:pPr>
      <w:r w:rsidRPr="003E4273">
        <w:rPr>
          <w:rFonts w:ascii="Lato" w:hAnsi="Lato" w:cs="Arial"/>
          <w:b/>
          <w:bCs/>
          <w:color w:val="auto"/>
          <w:sz w:val="20"/>
          <w:szCs w:val="20"/>
        </w:rPr>
        <w:lastRenderedPageBreak/>
        <w:t>CZĘŚĆ OGÓLNA</w:t>
      </w:r>
    </w:p>
    <w:p w14:paraId="024AA686" w14:textId="77777777" w:rsidR="00191A05" w:rsidRPr="003E4273" w:rsidRDefault="00191A05" w:rsidP="00191A05">
      <w:pPr>
        <w:spacing w:after="0" w:line="248" w:lineRule="auto"/>
        <w:ind w:left="451" w:right="0" w:firstLine="0"/>
        <w:rPr>
          <w:rFonts w:ascii="Lato" w:hAnsi="Lato" w:cs="Arial"/>
          <w:b/>
          <w:bCs/>
          <w:color w:val="auto"/>
          <w:sz w:val="20"/>
          <w:szCs w:val="20"/>
        </w:rPr>
      </w:pPr>
    </w:p>
    <w:p w14:paraId="5E36018F" w14:textId="77777777" w:rsidR="00163219" w:rsidRDefault="002C2B59" w:rsidP="00191A05">
      <w:pPr>
        <w:numPr>
          <w:ilvl w:val="1"/>
          <w:numId w:val="2"/>
        </w:numPr>
        <w:spacing w:after="0" w:line="248" w:lineRule="auto"/>
        <w:ind w:left="567" w:right="0" w:hanging="571"/>
        <w:rPr>
          <w:rFonts w:ascii="Lato" w:hAnsi="Lato" w:cs="Arial"/>
          <w:b/>
          <w:bCs/>
          <w:color w:val="auto"/>
          <w:sz w:val="20"/>
          <w:szCs w:val="20"/>
        </w:rPr>
      </w:pPr>
      <w:r w:rsidRPr="003E4273">
        <w:rPr>
          <w:rFonts w:ascii="Lato" w:hAnsi="Lato" w:cs="Arial"/>
          <w:b/>
          <w:bCs/>
          <w:color w:val="auto"/>
          <w:sz w:val="20"/>
          <w:szCs w:val="20"/>
        </w:rPr>
        <w:t>Nazwa nadana zamówieniu przez zamawiającego</w:t>
      </w:r>
    </w:p>
    <w:p w14:paraId="1A4D5257" w14:textId="66DB3120" w:rsidR="00B52D12" w:rsidRPr="008541A3" w:rsidRDefault="008541A3" w:rsidP="008541A3">
      <w:pPr>
        <w:ind w:right="12"/>
        <w:rPr>
          <w:rFonts w:ascii="Lato" w:hAnsi="Lato"/>
          <w:color w:val="auto"/>
          <w:sz w:val="20"/>
          <w:szCs w:val="20"/>
        </w:rPr>
      </w:pPr>
      <w:r w:rsidRPr="008541A3">
        <w:rPr>
          <w:rFonts w:ascii="Lato" w:hAnsi="Lato"/>
          <w:color w:val="auto"/>
          <w:sz w:val="20"/>
          <w:szCs w:val="20"/>
        </w:rPr>
        <w:t>ROZBUDOWA I PRZEBUDOWA BUDYNKU PRZEDSZKOLA MIEJSKIEGO NR 2 W RAMACH ZADANIA PN. POPRAWA EFEKTYWNOŚCI ENERGETYCZNEJ BUDYNKÓW PUBLICZNYCH NA TERENIE MOF ŁUKOWA – KOMPLEKSOWA MODERNIZACJA ENERGETYCZNA BUDYNKU PRZEDSZKOLA MIEJSKIEGO NR 2 W ŁUKOWIE WRAZ Z JEGO ROZBUDOWĄ I PRZEBUDOWĄ</w:t>
      </w:r>
    </w:p>
    <w:p w14:paraId="22292402" w14:textId="52441E5A" w:rsidR="00163219" w:rsidRPr="003E4273" w:rsidRDefault="002C2B59" w:rsidP="00B52D12">
      <w:pPr>
        <w:spacing w:after="0" w:line="248" w:lineRule="auto"/>
        <w:ind w:left="-4" w:right="0" w:firstLine="0"/>
        <w:rPr>
          <w:rFonts w:ascii="Lato" w:hAnsi="Lato" w:cs="Arial"/>
          <w:b/>
          <w:bCs/>
          <w:color w:val="auto"/>
          <w:sz w:val="20"/>
          <w:szCs w:val="20"/>
        </w:rPr>
      </w:pPr>
      <w:r w:rsidRPr="003E4273">
        <w:rPr>
          <w:rFonts w:ascii="Lato" w:hAnsi="Lato" w:cs="Arial"/>
          <w:b/>
          <w:bCs/>
          <w:color w:val="auto"/>
          <w:sz w:val="20"/>
          <w:szCs w:val="20"/>
        </w:rPr>
        <w:t>Przedmiot ST</w:t>
      </w:r>
    </w:p>
    <w:p w14:paraId="1F572ECE" w14:textId="2E7EAE51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Przedmiotem niniejszej szczegółowej specyfikacji technicznej (SST) są wymagania dotyczące wykonania i odbioru robót związanych z wykonaniem konstrukcji betonowych i żelbetowych w ramach powyższego zadania.</w:t>
      </w:r>
    </w:p>
    <w:p w14:paraId="7BDC0C4E" w14:textId="00F03E7C" w:rsidR="007424A5" w:rsidRDefault="006F3817" w:rsidP="008541A3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6F3817">
        <w:rPr>
          <w:rFonts w:ascii="Lato" w:hAnsi="Lato" w:cs="Arial"/>
          <w:color w:val="auto"/>
          <w:sz w:val="20"/>
          <w:szCs w:val="20"/>
        </w:rPr>
        <w:t>ROZBUDOWA I PRZEBUDOWA BUDYNKU PRZEDSZKOLA NR 1 W RAMACH ZADANIA PN. ROZBUDOWA PRZEDSZKOLA INTEGRACYJNEGO NR 1 W ŁUKOWIE NA POTRZEBY DZIECI W WIEKU PRZEDSZKOLNYM Z MOF ŁUKOWA</w:t>
      </w:r>
    </w:p>
    <w:p w14:paraId="0B4FAAE3" w14:textId="77777777" w:rsidR="007424A5" w:rsidRPr="008541A3" w:rsidRDefault="007424A5" w:rsidP="007424A5">
      <w:pPr>
        <w:spacing w:after="0"/>
        <w:ind w:left="-5" w:right="0"/>
        <w:rPr>
          <w:rFonts w:ascii="Lato" w:hAnsi="Lato" w:cs="Arial"/>
          <w:b/>
          <w:bCs/>
          <w:color w:val="auto"/>
          <w:sz w:val="20"/>
          <w:szCs w:val="20"/>
        </w:rPr>
      </w:pPr>
      <w:r w:rsidRPr="008541A3">
        <w:rPr>
          <w:rFonts w:ascii="Lato" w:hAnsi="Lato" w:cs="Arial"/>
          <w:b/>
          <w:bCs/>
          <w:color w:val="auto"/>
          <w:sz w:val="20"/>
          <w:szCs w:val="20"/>
        </w:rPr>
        <w:t xml:space="preserve">Zamawiający: </w:t>
      </w:r>
    </w:p>
    <w:p w14:paraId="0A5B7825" w14:textId="77777777" w:rsidR="007424A5" w:rsidRPr="007424A5" w:rsidRDefault="007424A5" w:rsidP="007424A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7424A5">
        <w:rPr>
          <w:rFonts w:ascii="Lato" w:hAnsi="Lato" w:cs="Arial"/>
          <w:color w:val="auto"/>
          <w:sz w:val="20"/>
          <w:szCs w:val="20"/>
        </w:rPr>
        <w:t>MIASTO ŁUKÓW</w:t>
      </w:r>
    </w:p>
    <w:p w14:paraId="721CE753" w14:textId="77777777" w:rsidR="007424A5" w:rsidRPr="007424A5" w:rsidRDefault="007424A5" w:rsidP="007424A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7424A5">
        <w:rPr>
          <w:rFonts w:ascii="Lato" w:hAnsi="Lato" w:cs="Arial"/>
          <w:color w:val="auto"/>
          <w:sz w:val="20"/>
          <w:szCs w:val="20"/>
        </w:rPr>
        <w:t>UL. PIŁSUDSKIEGO 17, 21-400 ŁUKÓW</w:t>
      </w:r>
    </w:p>
    <w:p w14:paraId="59E34AB8" w14:textId="77777777" w:rsidR="007424A5" w:rsidRPr="008541A3" w:rsidRDefault="007424A5" w:rsidP="007424A5">
      <w:pPr>
        <w:spacing w:after="0"/>
        <w:ind w:left="-5" w:right="0"/>
        <w:rPr>
          <w:rFonts w:ascii="Lato" w:hAnsi="Lato" w:cs="Arial"/>
          <w:b/>
          <w:bCs/>
          <w:color w:val="auto"/>
          <w:sz w:val="20"/>
          <w:szCs w:val="20"/>
        </w:rPr>
      </w:pPr>
      <w:r w:rsidRPr="008541A3">
        <w:rPr>
          <w:rFonts w:ascii="Lato" w:hAnsi="Lato" w:cs="Arial"/>
          <w:b/>
          <w:bCs/>
          <w:color w:val="auto"/>
          <w:sz w:val="20"/>
          <w:szCs w:val="20"/>
        </w:rPr>
        <w:t xml:space="preserve">Miejsce realizacji: </w:t>
      </w:r>
    </w:p>
    <w:p w14:paraId="13B4DD7B" w14:textId="77777777" w:rsidR="00B51857" w:rsidRPr="0005213F" w:rsidRDefault="00B51857" w:rsidP="00B51857">
      <w:pPr>
        <w:ind w:right="12"/>
        <w:rPr>
          <w:rFonts w:ascii="Lato" w:hAnsi="Lato"/>
          <w:color w:val="auto"/>
          <w:sz w:val="20"/>
          <w:szCs w:val="20"/>
        </w:rPr>
      </w:pPr>
      <w:bookmarkStart w:id="1" w:name="_Hlk104804536"/>
      <w:r w:rsidRPr="0005213F">
        <w:rPr>
          <w:rFonts w:ascii="Lato" w:hAnsi="Lato"/>
          <w:color w:val="auto"/>
          <w:sz w:val="20"/>
          <w:szCs w:val="20"/>
        </w:rPr>
        <w:t>DZ. NR EW.:</w:t>
      </w:r>
      <w:r>
        <w:rPr>
          <w:rFonts w:ascii="Lato" w:hAnsi="Lato"/>
          <w:color w:val="auto"/>
          <w:sz w:val="20"/>
          <w:szCs w:val="20"/>
        </w:rPr>
        <w:t xml:space="preserve"> 8453/6</w:t>
      </w:r>
      <w:r w:rsidRPr="0005213F">
        <w:rPr>
          <w:rFonts w:ascii="Lato" w:hAnsi="Lato"/>
          <w:color w:val="auto"/>
          <w:sz w:val="20"/>
          <w:szCs w:val="20"/>
        </w:rPr>
        <w:t>, OBRĘB  0003 ŁUKÓW, JEDN. EW. 061101_1 ŁUKÓW (</w:t>
      </w:r>
      <w:r w:rsidRPr="00160931">
        <w:rPr>
          <w:rFonts w:ascii="Lato" w:hAnsi="Lato"/>
          <w:color w:val="auto"/>
          <w:sz w:val="20"/>
          <w:szCs w:val="20"/>
        </w:rPr>
        <w:t>UL. PIŁSUDSKIEGO 18,   21-400 ŁUKÓW</w:t>
      </w:r>
      <w:r w:rsidRPr="0005213F">
        <w:rPr>
          <w:rFonts w:ascii="Lato" w:hAnsi="Lato"/>
          <w:color w:val="auto"/>
          <w:sz w:val="20"/>
          <w:szCs w:val="20"/>
        </w:rPr>
        <w:t>)</w:t>
      </w:r>
    </w:p>
    <w:bookmarkEnd w:id="1"/>
    <w:p w14:paraId="051B44B4" w14:textId="77777777" w:rsidR="006F3817" w:rsidRPr="003E4273" w:rsidRDefault="006F3817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</w:p>
    <w:p w14:paraId="6EAB52A6" w14:textId="77777777" w:rsidR="00163219" w:rsidRPr="003E4273" w:rsidRDefault="002C2B59" w:rsidP="000C4430">
      <w:pPr>
        <w:numPr>
          <w:ilvl w:val="1"/>
          <w:numId w:val="2"/>
        </w:numPr>
        <w:spacing w:after="0" w:line="248" w:lineRule="auto"/>
        <w:ind w:left="567" w:right="0" w:hanging="571"/>
        <w:rPr>
          <w:rFonts w:ascii="Lato" w:hAnsi="Lato" w:cs="Arial"/>
          <w:b/>
          <w:bCs/>
          <w:color w:val="auto"/>
          <w:sz w:val="20"/>
          <w:szCs w:val="20"/>
        </w:rPr>
      </w:pPr>
      <w:r w:rsidRPr="003E4273">
        <w:rPr>
          <w:rFonts w:ascii="Lato" w:hAnsi="Lato" w:cs="Arial"/>
          <w:b/>
          <w:bCs/>
          <w:color w:val="auto"/>
          <w:sz w:val="20"/>
          <w:szCs w:val="20"/>
        </w:rPr>
        <w:t>Zakres stosowania ST</w:t>
      </w:r>
    </w:p>
    <w:p w14:paraId="3D8EA4E3" w14:textId="092F1E4C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Niniejsza specyfikacja techniczna jest dokumentem przetargowym i kontraktowym przy zlecaniu i realizacji robót wymienionych w pkt. 1.2., a objętych zamówieniem określonym w pkt. 1.</w:t>
      </w:r>
      <w:r w:rsidR="009D5D39" w:rsidRPr="003E4273">
        <w:rPr>
          <w:rFonts w:ascii="Lato" w:hAnsi="Lato" w:cs="Arial"/>
          <w:color w:val="auto"/>
          <w:sz w:val="20"/>
          <w:szCs w:val="20"/>
        </w:rPr>
        <w:t>1</w:t>
      </w:r>
      <w:r w:rsidRPr="003E4273">
        <w:rPr>
          <w:rFonts w:ascii="Lato" w:hAnsi="Lato" w:cs="Arial"/>
          <w:color w:val="auto"/>
          <w:sz w:val="20"/>
          <w:szCs w:val="20"/>
        </w:rPr>
        <w:t>.</w:t>
      </w:r>
    </w:p>
    <w:p w14:paraId="2458789A" w14:textId="18138227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Odstępstwa od wymagań podanych w niniejszej specyfikacji mogą mieć miejsce tylko w przypadkach prostych robót o niewielkim znaczeniu, dla których istnieje pewność, że podstawowe wymagania będą spełnione przy zastosowaniu metod wykonania wynikających z doświadczenia oraz uznanych reguł i zasad sztuki budowlanej oraz przy uwzględnieniu przepisów bhp.</w:t>
      </w:r>
    </w:p>
    <w:p w14:paraId="3F74BE73" w14:textId="77777777" w:rsidR="000C4430" w:rsidRPr="003E4273" w:rsidRDefault="000C4430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</w:p>
    <w:p w14:paraId="71176124" w14:textId="77777777" w:rsidR="00163219" w:rsidRPr="003E4273" w:rsidRDefault="002C2B59" w:rsidP="000C4430">
      <w:pPr>
        <w:numPr>
          <w:ilvl w:val="1"/>
          <w:numId w:val="2"/>
        </w:numPr>
        <w:spacing w:after="0" w:line="248" w:lineRule="auto"/>
        <w:ind w:left="567" w:right="0" w:hanging="571"/>
        <w:rPr>
          <w:rFonts w:ascii="Lato" w:hAnsi="Lato" w:cs="Arial"/>
          <w:b/>
          <w:bCs/>
          <w:color w:val="auto"/>
          <w:sz w:val="20"/>
          <w:szCs w:val="20"/>
        </w:rPr>
      </w:pPr>
      <w:r w:rsidRPr="003E4273">
        <w:rPr>
          <w:rFonts w:ascii="Lato" w:hAnsi="Lato" w:cs="Arial"/>
          <w:b/>
          <w:bCs/>
          <w:color w:val="auto"/>
          <w:sz w:val="20"/>
          <w:szCs w:val="20"/>
        </w:rPr>
        <w:t>Przedmiot i zakres robót objętych ST</w:t>
      </w:r>
    </w:p>
    <w:p w14:paraId="28F6A0EF" w14:textId="7777777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Specyfikacja dotyczy zasad prowadzenia robót związanych z wykonywaniem konstrukcji betonowych i żelbetowych w obiektach kubaturowych (za wyjątkiem przygotowania i montażu zbrojenia). Specyfikacja dotyczy wszystkich czynności mających na celu wykonanie robót związanych z:</w:t>
      </w:r>
    </w:p>
    <w:p w14:paraId="1888B83C" w14:textId="77777777" w:rsidR="00163219" w:rsidRPr="003E4273" w:rsidRDefault="002C2B59" w:rsidP="00191A05">
      <w:pPr>
        <w:numPr>
          <w:ilvl w:val="0"/>
          <w:numId w:val="3"/>
        </w:numPr>
        <w:spacing w:after="0"/>
        <w:ind w:right="0" w:hanging="36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przygotowaniem mieszanki betonowej,</w:t>
      </w:r>
    </w:p>
    <w:p w14:paraId="50108D3E" w14:textId="77777777" w:rsidR="00163219" w:rsidRPr="003E4273" w:rsidRDefault="002C2B59" w:rsidP="00191A05">
      <w:pPr>
        <w:numPr>
          <w:ilvl w:val="0"/>
          <w:numId w:val="3"/>
        </w:numPr>
        <w:spacing w:after="0"/>
        <w:ind w:right="0" w:hanging="36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wykonaniem rusztowań,</w:t>
      </w:r>
    </w:p>
    <w:p w14:paraId="69C62AFC" w14:textId="77777777" w:rsidR="009D5D39" w:rsidRPr="003E4273" w:rsidRDefault="002C2B59" w:rsidP="00191A05">
      <w:pPr>
        <w:numPr>
          <w:ilvl w:val="0"/>
          <w:numId w:val="3"/>
        </w:numPr>
        <w:spacing w:after="0" w:line="224" w:lineRule="auto"/>
        <w:ind w:right="0" w:hanging="36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 xml:space="preserve">wykonaniem </w:t>
      </w:r>
      <w:proofErr w:type="spellStart"/>
      <w:r w:rsidRPr="003E4273">
        <w:rPr>
          <w:rFonts w:ascii="Lato" w:hAnsi="Lato" w:cs="Arial"/>
          <w:color w:val="auto"/>
          <w:sz w:val="20"/>
          <w:szCs w:val="20"/>
        </w:rPr>
        <w:t>deskowań</w:t>
      </w:r>
      <w:proofErr w:type="spellEnd"/>
      <w:r w:rsidRPr="003E4273">
        <w:rPr>
          <w:rFonts w:ascii="Lato" w:hAnsi="Lato" w:cs="Arial"/>
          <w:color w:val="auto"/>
          <w:sz w:val="20"/>
          <w:szCs w:val="20"/>
        </w:rPr>
        <w:t xml:space="preserve"> wraz z usztywnieniem, </w:t>
      </w:r>
    </w:p>
    <w:p w14:paraId="340D1818" w14:textId="77777777" w:rsidR="009D5D39" w:rsidRPr="003E4273" w:rsidRDefault="002C2B59" w:rsidP="00191A05">
      <w:pPr>
        <w:numPr>
          <w:ilvl w:val="0"/>
          <w:numId w:val="3"/>
        </w:numPr>
        <w:spacing w:after="0" w:line="224" w:lineRule="auto"/>
        <w:ind w:right="0" w:hanging="36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 xml:space="preserve">układaniem i zagęszczaniem mieszanki betonowej, </w:t>
      </w:r>
    </w:p>
    <w:p w14:paraId="26076D40" w14:textId="4EB4A7E7" w:rsidR="00163219" w:rsidRPr="003E4273" w:rsidRDefault="002C2B59" w:rsidP="00191A05">
      <w:pPr>
        <w:numPr>
          <w:ilvl w:val="0"/>
          <w:numId w:val="3"/>
        </w:numPr>
        <w:spacing w:after="0" w:line="224" w:lineRule="auto"/>
        <w:ind w:right="0" w:hanging="36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pielęgnacją betonu.</w:t>
      </w:r>
    </w:p>
    <w:p w14:paraId="5C052A8F" w14:textId="77777777" w:rsidR="000C4430" w:rsidRPr="003E4273" w:rsidRDefault="000C4430" w:rsidP="000C4430">
      <w:pPr>
        <w:spacing w:after="0" w:line="224" w:lineRule="auto"/>
        <w:ind w:left="360" w:right="0" w:firstLine="0"/>
        <w:rPr>
          <w:rFonts w:ascii="Lato" w:hAnsi="Lato" w:cs="Arial"/>
          <w:color w:val="auto"/>
          <w:sz w:val="20"/>
          <w:szCs w:val="20"/>
        </w:rPr>
      </w:pPr>
    </w:p>
    <w:p w14:paraId="05F6EF0B" w14:textId="25D8D9FA" w:rsidR="00163219" w:rsidRPr="003E4273" w:rsidRDefault="002C2B59" w:rsidP="000C4430">
      <w:pPr>
        <w:pStyle w:val="Akapitzlist"/>
        <w:numPr>
          <w:ilvl w:val="1"/>
          <w:numId w:val="2"/>
        </w:numPr>
        <w:spacing w:after="0" w:line="248" w:lineRule="auto"/>
        <w:ind w:left="567" w:right="0" w:hanging="567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3E4273">
        <w:rPr>
          <w:rFonts w:ascii="Lato" w:hAnsi="Lato" w:cs="Arial"/>
          <w:b/>
          <w:bCs/>
          <w:color w:val="auto"/>
          <w:sz w:val="20"/>
          <w:szCs w:val="20"/>
        </w:rPr>
        <w:t>Określenia podstawowe</w:t>
      </w:r>
    </w:p>
    <w:p w14:paraId="6D3D34B6" w14:textId="288C6501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Określenia podane w niniejszej Specyfikacji są zgodne z odpowiednimi normami oraz określeniami podanymi w ST „Wymagania ogólne”, Kod CPV 45000000-7, pkt 1.</w:t>
      </w:r>
      <w:r w:rsidR="009D5D39" w:rsidRPr="003E4273">
        <w:rPr>
          <w:rFonts w:ascii="Lato" w:hAnsi="Lato" w:cs="Arial"/>
          <w:color w:val="auto"/>
          <w:sz w:val="20"/>
          <w:szCs w:val="20"/>
        </w:rPr>
        <w:t>11</w:t>
      </w:r>
      <w:r w:rsidRPr="003E4273">
        <w:rPr>
          <w:rFonts w:ascii="Lato" w:hAnsi="Lato" w:cs="Arial"/>
          <w:color w:val="auto"/>
          <w:sz w:val="20"/>
          <w:szCs w:val="20"/>
        </w:rPr>
        <w:t>., a także podanymi poniżej:</w:t>
      </w:r>
    </w:p>
    <w:p w14:paraId="6D63059D" w14:textId="30865B56" w:rsidR="00B00B8F" w:rsidRPr="003E4273" w:rsidRDefault="002C2B59" w:rsidP="00B00B8F">
      <w:pPr>
        <w:spacing w:after="0"/>
        <w:ind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Beton zwykły – beton o gęstości powyżej 1,8 t/m</w:t>
      </w:r>
      <w:r w:rsidRPr="003E4273">
        <w:rPr>
          <w:rFonts w:ascii="Lato" w:hAnsi="Lato" w:cs="Arial"/>
          <w:color w:val="auto"/>
          <w:sz w:val="20"/>
          <w:szCs w:val="20"/>
          <w:vertAlign w:val="superscript"/>
        </w:rPr>
        <w:t>3</w:t>
      </w:r>
      <w:r w:rsidRPr="003E4273">
        <w:rPr>
          <w:rFonts w:ascii="Lato" w:hAnsi="Lato" w:cs="Arial"/>
          <w:color w:val="auto"/>
          <w:sz w:val="20"/>
          <w:szCs w:val="20"/>
        </w:rPr>
        <w:t xml:space="preserve"> wykonany z cementu, wody, kruszywa mineralnego o frakcjach piaskowych i</w:t>
      </w:r>
      <w:r w:rsidR="00B00B8F" w:rsidRPr="003E4273">
        <w:rPr>
          <w:rFonts w:ascii="Lato" w:hAnsi="Lato" w:cs="Arial"/>
          <w:color w:val="auto"/>
          <w:sz w:val="20"/>
          <w:szCs w:val="20"/>
        </w:rPr>
        <w:t xml:space="preserve"> </w:t>
      </w:r>
      <w:r w:rsidRPr="003E4273">
        <w:rPr>
          <w:rFonts w:ascii="Lato" w:hAnsi="Lato" w:cs="Arial"/>
          <w:color w:val="auto"/>
          <w:sz w:val="20"/>
          <w:szCs w:val="20"/>
        </w:rPr>
        <w:t>grubszych oraz ewentualnych dodatków mineralnych i domieszek chemicznych.</w:t>
      </w:r>
    </w:p>
    <w:p w14:paraId="323A4CDA" w14:textId="30865B56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Mieszanka betonowa – mieszanka wszystkich składników przed związaniem betonu.</w:t>
      </w:r>
    </w:p>
    <w:p w14:paraId="01A31846" w14:textId="7777777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Zaczyn cementowy – mieszanka cementu i wody.</w:t>
      </w:r>
    </w:p>
    <w:p w14:paraId="68E6D712" w14:textId="7777777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Zaprawa – mieszanka cementu, wody, składników mineralnych i ewentualnych dodatków przechodzących przez sito kontrolne o boku oczka kwadratowego 2 mm.</w:t>
      </w:r>
    </w:p>
    <w:p w14:paraId="7AD5BCBB" w14:textId="7777777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Nasiąkliwość betonu – stosunek masy wody, którą zdolny jest wchłonąć beton, do jego masy w stanie suchym.</w:t>
      </w:r>
    </w:p>
    <w:p w14:paraId="74B64C83" w14:textId="7777777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 xml:space="preserve">Stopień wodoszczelności – symbol literowo-liczbowy (np. W8) klasyfikujący beton pod względem przepuszczalności wody. Liczba po literze W oznacza dziesięciokrotną wartość ciśnienia wody w </w:t>
      </w:r>
      <w:proofErr w:type="spellStart"/>
      <w:r w:rsidRPr="003E4273">
        <w:rPr>
          <w:rFonts w:ascii="Lato" w:hAnsi="Lato" w:cs="Arial"/>
          <w:color w:val="auto"/>
          <w:sz w:val="20"/>
          <w:szCs w:val="20"/>
        </w:rPr>
        <w:t>MPa</w:t>
      </w:r>
      <w:proofErr w:type="spellEnd"/>
      <w:r w:rsidRPr="003E4273">
        <w:rPr>
          <w:rFonts w:ascii="Lato" w:hAnsi="Lato" w:cs="Arial"/>
          <w:color w:val="auto"/>
          <w:sz w:val="20"/>
          <w:szCs w:val="20"/>
        </w:rPr>
        <w:t>, działającego na próbki betonowe.</w:t>
      </w:r>
    </w:p>
    <w:p w14:paraId="10A24417" w14:textId="7777777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Stopień mrozoodporności – symbol literowo-liczbowy (np. F150) klasyfikujący beton pod względem jego odporności na działania mrozu. Liczba po literze F oznacza wymaganą liczbę cykli zamrażania i odmrażania próbek betonowych.</w:t>
      </w:r>
    </w:p>
    <w:p w14:paraId="3C1ADBA1" w14:textId="7777777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 xml:space="preserve">Klasa betonu – symbol literowo-liczbowy (np. C25/30) klasyfikujący beton pod względem jego wytrzymałości na ściskanie. Liczba po literze C oznacza wytrzymałość charakterystyczną  w </w:t>
      </w:r>
      <w:proofErr w:type="spellStart"/>
      <w:r w:rsidRPr="003E4273">
        <w:rPr>
          <w:rFonts w:ascii="Lato" w:hAnsi="Lato" w:cs="Arial"/>
          <w:color w:val="auto"/>
          <w:sz w:val="20"/>
          <w:szCs w:val="20"/>
        </w:rPr>
        <w:t>MPa</w:t>
      </w:r>
      <w:proofErr w:type="spellEnd"/>
      <w:r w:rsidRPr="003E4273">
        <w:rPr>
          <w:rFonts w:ascii="Lato" w:hAnsi="Lato" w:cs="Arial"/>
          <w:color w:val="auto"/>
          <w:sz w:val="20"/>
          <w:szCs w:val="20"/>
        </w:rPr>
        <w:t xml:space="preserve">; </w:t>
      </w:r>
    </w:p>
    <w:p w14:paraId="6D688EF2" w14:textId="77777777" w:rsidR="00163219" w:rsidRPr="003E4273" w:rsidRDefault="002C2B59" w:rsidP="00191A05">
      <w:pPr>
        <w:spacing w:after="0"/>
        <w:ind w:left="556" w:right="0" w:hanging="571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 xml:space="preserve">25– wytrzymałość charakterystyczna w </w:t>
      </w:r>
      <w:proofErr w:type="spellStart"/>
      <w:r w:rsidRPr="003E4273">
        <w:rPr>
          <w:rFonts w:ascii="Lato" w:hAnsi="Lato" w:cs="Arial"/>
          <w:color w:val="auto"/>
          <w:sz w:val="20"/>
          <w:szCs w:val="20"/>
        </w:rPr>
        <w:t>MPa</w:t>
      </w:r>
      <w:proofErr w:type="spellEnd"/>
      <w:r w:rsidRPr="003E4273">
        <w:rPr>
          <w:rFonts w:ascii="Lato" w:hAnsi="Lato" w:cs="Arial"/>
          <w:color w:val="auto"/>
          <w:sz w:val="20"/>
          <w:szCs w:val="20"/>
        </w:rPr>
        <w:t xml:space="preserve"> przy ściskaniu próbki walcowej o średnicy 15 cm i wysokości 30 cm,</w:t>
      </w:r>
    </w:p>
    <w:p w14:paraId="5F40C37D" w14:textId="77777777" w:rsidR="00163219" w:rsidRPr="003E4273" w:rsidRDefault="002C2B59" w:rsidP="00191A05">
      <w:pPr>
        <w:spacing w:after="0"/>
        <w:ind w:left="556" w:right="0" w:hanging="571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 xml:space="preserve">30– wytrzymałość charakterystyczna w </w:t>
      </w:r>
      <w:proofErr w:type="spellStart"/>
      <w:r w:rsidRPr="003E4273">
        <w:rPr>
          <w:rFonts w:ascii="Lato" w:hAnsi="Lato" w:cs="Arial"/>
          <w:color w:val="auto"/>
          <w:sz w:val="20"/>
          <w:szCs w:val="20"/>
        </w:rPr>
        <w:t>MPa</w:t>
      </w:r>
      <w:proofErr w:type="spellEnd"/>
      <w:r w:rsidRPr="003E4273">
        <w:rPr>
          <w:rFonts w:ascii="Lato" w:hAnsi="Lato" w:cs="Arial"/>
          <w:color w:val="auto"/>
          <w:sz w:val="20"/>
          <w:szCs w:val="20"/>
        </w:rPr>
        <w:t xml:space="preserve"> przy ściskaniu próbki sześciennej o wymiarach boków 15 x 15 x 15 cm.</w:t>
      </w:r>
    </w:p>
    <w:p w14:paraId="529869B3" w14:textId="5D1C73EA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lastRenderedPageBreak/>
        <w:t>Wytrzymałość charakterystyczna betonu na ściskanie C – wytrzymałość (zapewniona z 95-proc. prawdopodobieństwem) uzyskania w wyniku badania na ściskanie kostek sześciennych o boku 150 mm, wykonanych, przechowywanych i badanych zgodnie z normą PN-EN 12390-3:20</w:t>
      </w:r>
      <w:r w:rsidR="00ED7C61" w:rsidRPr="003E4273">
        <w:rPr>
          <w:rFonts w:ascii="Lato" w:hAnsi="Lato" w:cs="Arial"/>
          <w:color w:val="auto"/>
          <w:sz w:val="20"/>
          <w:szCs w:val="20"/>
        </w:rPr>
        <w:t>1</w:t>
      </w:r>
      <w:r w:rsidRPr="003E4273">
        <w:rPr>
          <w:rFonts w:ascii="Lato" w:hAnsi="Lato" w:cs="Arial"/>
          <w:color w:val="auto"/>
          <w:sz w:val="20"/>
          <w:szCs w:val="20"/>
        </w:rPr>
        <w:t>9</w:t>
      </w:r>
      <w:r w:rsidR="00ED7C61" w:rsidRPr="003E4273">
        <w:rPr>
          <w:rFonts w:ascii="Lato" w:hAnsi="Lato" w:cs="Arial"/>
          <w:color w:val="auto"/>
          <w:sz w:val="20"/>
          <w:szCs w:val="20"/>
        </w:rPr>
        <w:t>-07</w:t>
      </w:r>
      <w:r w:rsidRPr="003E4273">
        <w:rPr>
          <w:rFonts w:ascii="Lato" w:hAnsi="Lato" w:cs="Arial"/>
          <w:color w:val="auto"/>
          <w:sz w:val="20"/>
          <w:szCs w:val="20"/>
        </w:rPr>
        <w:t>.</w:t>
      </w:r>
    </w:p>
    <w:p w14:paraId="6AA42FF5" w14:textId="77777777" w:rsidR="00B00B8F" w:rsidRPr="003E4273" w:rsidRDefault="00B00B8F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</w:p>
    <w:p w14:paraId="3C1BE952" w14:textId="1721BD20" w:rsidR="00163219" w:rsidRPr="003E4273" w:rsidRDefault="002C2B59" w:rsidP="00B00B8F">
      <w:pPr>
        <w:pStyle w:val="Akapitzlist"/>
        <w:numPr>
          <w:ilvl w:val="1"/>
          <w:numId w:val="2"/>
        </w:numPr>
        <w:tabs>
          <w:tab w:val="center" w:pos="567"/>
        </w:tabs>
        <w:spacing w:after="0" w:line="248" w:lineRule="auto"/>
        <w:ind w:left="0" w:right="0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3E4273">
        <w:rPr>
          <w:rFonts w:ascii="Lato" w:hAnsi="Lato" w:cs="Arial"/>
          <w:b/>
          <w:bCs/>
          <w:color w:val="auto"/>
          <w:sz w:val="20"/>
          <w:szCs w:val="20"/>
        </w:rPr>
        <w:t>Ogólne wymagania dotyczące robót</w:t>
      </w:r>
    </w:p>
    <w:p w14:paraId="15D2BAD8" w14:textId="01DD2D18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Wykonawca robót jest odpowiedzialny za jakość ich wykonania oraz za zgodność z dokumentacją projektową, specyfikacjami technicznymi i poleceniami Inspektora nadzoru. Ogólne wymagania dotyczące robót wykonywanych na tej budowie podano w ST „Wymagania ogólne” Kod CPV 45000000-7,</w:t>
      </w:r>
    </w:p>
    <w:p w14:paraId="1D179EC1" w14:textId="77777777" w:rsidR="00B00B8F" w:rsidRPr="003E4273" w:rsidRDefault="00B00B8F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</w:p>
    <w:p w14:paraId="5056B1F5" w14:textId="77777777" w:rsidR="00163219" w:rsidRPr="003E4273" w:rsidRDefault="002C2B59" w:rsidP="00191A05">
      <w:pPr>
        <w:spacing w:after="0" w:line="248" w:lineRule="auto"/>
        <w:ind w:left="556" w:right="0" w:hanging="571"/>
        <w:rPr>
          <w:rFonts w:ascii="Lato" w:hAnsi="Lato" w:cs="Arial"/>
          <w:b/>
          <w:bCs/>
          <w:color w:val="auto"/>
          <w:sz w:val="20"/>
          <w:szCs w:val="20"/>
        </w:rPr>
      </w:pPr>
      <w:r w:rsidRPr="003E4273">
        <w:rPr>
          <w:rFonts w:ascii="Lato" w:hAnsi="Lato" w:cs="Arial"/>
          <w:b/>
          <w:bCs/>
          <w:color w:val="auto"/>
          <w:sz w:val="20"/>
          <w:szCs w:val="20"/>
        </w:rPr>
        <w:t>1.7.</w:t>
      </w:r>
      <w:r w:rsidRPr="003E4273">
        <w:rPr>
          <w:rFonts w:ascii="Lato" w:hAnsi="Lato" w:cs="Arial"/>
          <w:b/>
          <w:bCs/>
          <w:color w:val="auto"/>
          <w:sz w:val="20"/>
          <w:szCs w:val="20"/>
        </w:rPr>
        <w:tab/>
        <w:t>Dokumentacja wykonania konstrukcji betonowych i żelbetowych w obiektach kubaturowych</w:t>
      </w:r>
    </w:p>
    <w:p w14:paraId="28F5D467" w14:textId="2E320BF6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 xml:space="preserve">Roboty betonowe i żelbetowe należy wykonać na podstawie dokumentacji, której wykaz oraz podstawy prawne ich sporządzania podano w ST „Wymagania Ogólne” Kod CPV 45000000-7, </w:t>
      </w:r>
    </w:p>
    <w:p w14:paraId="5101AF89" w14:textId="77777777" w:rsidR="00B00B8F" w:rsidRPr="003E4273" w:rsidRDefault="00B00B8F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</w:p>
    <w:p w14:paraId="79E2496F" w14:textId="77777777" w:rsidR="00163219" w:rsidRPr="003E4273" w:rsidRDefault="002C2B59" w:rsidP="00191A05">
      <w:pPr>
        <w:spacing w:after="0" w:line="248" w:lineRule="auto"/>
        <w:ind w:left="-5" w:right="-11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b/>
          <w:bCs/>
          <w:color w:val="auto"/>
          <w:sz w:val="20"/>
          <w:szCs w:val="20"/>
        </w:rPr>
        <w:t>1.8.</w:t>
      </w:r>
      <w:r w:rsidRPr="003E4273">
        <w:rPr>
          <w:rFonts w:ascii="Lato" w:hAnsi="Lato" w:cs="Arial"/>
          <w:b/>
          <w:bCs/>
          <w:color w:val="auto"/>
          <w:sz w:val="20"/>
          <w:szCs w:val="20"/>
        </w:rPr>
        <w:tab/>
        <w:t>Nazwy i kody robót objętych zamówieniem:</w:t>
      </w:r>
      <w:r w:rsidRPr="003E4273">
        <w:rPr>
          <w:rFonts w:ascii="Lato" w:hAnsi="Lato" w:cs="Arial"/>
          <w:color w:val="auto"/>
          <w:sz w:val="20"/>
          <w:szCs w:val="20"/>
        </w:rPr>
        <w:t xml:space="preserve"> Grupy robót, klasy robót lub kategorie robót</w:t>
      </w:r>
    </w:p>
    <w:p w14:paraId="7928153E" w14:textId="444D8DF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45210000-2 Roboty budowlane w zakresie budynków</w:t>
      </w:r>
    </w:p>
    <w:p w14:paraId="6E4C130C" w14:textId="77777777" w:rsidR="00B00B8F" w:rsidRPr="003E4273" w:rsidRDefault="00B00B8F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</w:p>
    <w:p w14:paraId="11C3D759" w14:textId="5877959F" w:rsidR="00163219" w:rsidRPr="003E4273" w:rsidRDefault="002C2B59" w:rsidP="00191A05">
      <w:pPr>
        <w:numPr>
          <w:ilvl w:val="0"/>
          <w:numId w:val="4"/>
        </w:numPr>
        <w:spacing w:after="0" w:line="248" w:lineRule="auto"/>
        <w:ind w:right="0" w:hanging="451"/>
        <w:rPr>
          <w:rFonts w:ascii="Lato" w:hAnsi="Lato" w:cs="Arial"/>
          <w:b/>
          <w:bCs/>
          <w:color w:val="auto"/>
          <w:sz w:val="20"/>
          <w:szCs w:val="20"/>
        </w:rPr>
      </w:pPr>
      <w:r w:rsidRPr="003E4273">
        <w:rPr>
          <w:rFonts w:ascii="Lato" w:hAnsi="Lato" w:cs="Arial"/>
          <w:b/>
          <w:bCs/>
          <w:color w:val="auto"/>
          <w:sz w:val="20"/>
          <w:szCs w:val="20"/>
        </w:rPr>
        <w:t>WYMAGANIA DOTYCZĄCE WŁAŚCIWOŚCI MATERIAŁÓW</w:t>
      </w:r>
    </w:p>
    <w:p w14:paraId="7EB3E167" w14:textId="77777777" w:rsidR="00D23CA7" w:rsidRPr="003E4273" w:rsidRDefault="00D23CA7" w:rsidP="00D23CA7">
      <w:pPr>
        <w:spacing w:after="0" w:line="248" w:lineRule="auto"/>
        <w:ind w:left="451" w:right="0" w:firstLine="0"/>
        <w:rPr>
          <w:rFonts w:ascii="Lato" w:hAnsi="Lato" w:cs="Arial"/>
          <w:b/>
          <w:bCs/>
          <w:color w:val="auto"/>
          <w:sz w:val="20"/>
          <w:szCs w:val="20"/>
        </w:rPr>
      </w:pPr>
    </w:p>
    <w:p w14:paraId="2129337F" w14:textId="55DB3B28" w:rsidR="00163219" w:rsidRPr="003E4273" w:rsidRDefault="002C2B59" w:rsidP="00D23CA7">
      <w:pPr>
        <w:numPr>
          <w:ilvl w:val="1"/>
          <w:numId w:val="4"/>
        </w:numPr>
        <w:spacing w:after="0"/>
        <w:ind w:left="567" w:right="0" w:hanging="571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Ogólne wymagania dotyczące właściwości materiałów, ich pozyskiwania i składowania podano w ST „Wymagania ogólne” Kod CPV 45000000-7, pkt 2 Wszystkie materiały do wykonania konstrukcji betonowych i żelbetowych powinny odpowiadać wymaganiom zawartym w dokumentach odniesienia (normach, aprobatach technicznych).</w:t>
      </w:r>
    </w:p>
    <w:p w14:paraId="5679486B" w14:textId="77777777" w:rsidR="00D23CA7" w:rsidRPr="003E4273" w:rsidRDefault="00D23CA7" w:rsidP="00D23CA7">
      <w:pPr>
        <w:spacing w:after="0"/>
        <w:ind w:left="567" w:right="0" w:firstLine="0"/>
        <w:rPr>
          <w:rFonts w:ascii="Lato" w:hAnsi="Lato" w:cs="Arial"/>
          <w:color w:val="auto"/>
          <w:sz w:val="20"/>
          <w:szCs w:val="20"/>
        </w:rPr>
      </w:pPr>
    </w:p>
    <w:p w14:paraId="44A95186" w14:textId="77777777" w:rsidR="00163219" w:rsidRPr="003E4273" w:rsidRDefault="002C2B59" w:rsidP="00D23CA7">
      <w:pPr>
        <w:numPr>
          <w:ilvl w:val="1"/>
          <w:numId w:val="4"/>
        </w:numPr>
        <w:spacing w:after="0" w:line="248" w:lineRule="auto"/>
        <w:ind w:left="567" w:right="0" w:hanging="571"/>
        <w:rPr>
          <w:rFonts w:ascii="Lato" w:hAnsi="Lato" w:cs="Arial"/>
          <w:b/>
          <w:bCs/>
          <w:color w:val="auto"/>
          <w:sz w:val="20"/>
          <w:szCs w:val="20"/>
        </w:rPr>
      </w:pPr>
      <w:r w:rsidRPr="003E4273">
        <w:rPr>
          <w:rFonts w:ascii="Lato" w:hAnsi="Lato" w:cs="Arial"/>
          <w:b/>
          <w:bCs/>
          <w:color w:val="auto"/>
          <w:sz w:val="20"/>
          <w:szCs w:val="20"/>
        </w:rPr>
        <w:t>Składniki mieszanki betonowej</w:t>
      </w:r>
    </w:p>
    <w:p w14:paraId="19C39A2E" w14:textId="77777777" w:rsidR="00D23CA7" w:rsidRPr="003E4273" w:rsidRDefault="00D23CA7" w:rsidP="00191A05">
      <w:pPr>
        <w:spacing w:after="0" w:line="248" w:lineRule="auto"/>
        <w:ind w:left="-5" w:right="0"/>
        <w:rPr>
          <w:rFonts w:ascii="Lato" w:hAnsi="Lato" w:cs="Arial"/>
          <w:color w:val="auto"/>
          <w:sz w:val="20"/>
          <w:szCs w:val="20"/>
        </w:rPr>
      </w:pPr>
    </w:p>
    <w:p w14:paraId="2EA958F9" w14:textId="0175A83B" w:rsidR="00163219" w:rsidRPr="003E4273" w:rsidRDefault="002C2B59" w:rsidP="00191A05">
      <w:pPr>
        <w:spacing w:after="0" w:line="248" w:lineRule="auto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2.2.1. Cement – wymagania i badania</w:t>
      </w:r>
    </w:p>
    <w:p w14:paraId="31C71363" w14:textId="28113D61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Do wykonania betonów klasy C8/10 i wyższych powinien być stosowany cement portlandzki CEM I do CEM V klasy 32,5 ; 42,5 ; 52,5 spełniający wymagania PN-EN 197-1:20</w:t>
      </w:r>
      <w:r w:rsidR="00ED7C61" w:rsidRPr="003E4273">
        <w:rPr>
          <w:rFonts w:ascii="Lato" w:hAnsi="Lato" w:cs="Arial"/>
          <w:color w:val="auto"/>
          <w:sz w:val="20"/>
          <w:szCs w:val="20"/>
        </w:rPr>
        <w:t>1</w:t>
      </w:r>
      <w:r w:rsidRPr="003E4273">
        <w:rPr>
          <w:rFonts w:ascii="Lato" w:hAnsi="Lato" w:cs="Arial"/>
          <w:color w:val="auto"/>
          <w:sz w:val="20"/>
          <w:szCs w:val="20"/>
        </w:rPr>
        <w:t xml:space="preserve">2. </w:t>
      </w:r>
    </w:p>
    <w:p w14:paraId="3D3F8904" w14:textId="7777777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Te trzy klasy dzielą się w zależności od swej wytrzymałości wczesnej na cement o normalnej wytrzymałości wczesnej (oznaczenie symbolem N)</w:t>
      </w:r>
    </w:p>
    <w:p w14:paraId="4978464E" w14:textId="77777777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32,5 N</w:t>
      </w:r>
    </w:p>
    <w:p w14:paraId="262DEEBC" w14:textId="77777777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42,5 N</w:t>
      </w:r>
    </w:p>
    <w:p w14:paraId="4B2C7850" w14:textId="77777777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52,5 N</w:t>
      </w:r>
    </w:p>
    <w:p w14:paraId="041082FC" w14:textId="7777777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oraz na cement o wysokiej wytrzymałości wczesnej (oznaczenie symbolem R)</w:t>
      </w:r>
    </w:p>
    <w:p w14:paraId="087DC2EF" w14:textId="77777777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32R</w:t>
      </w:r>
    </w:p>
    <w:p w14:paraId="5BAC05F1" w14:textId="77777777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42,5R</w:t>
      </w:r>
    </w:p>
    <w:p w14:paraId="716CD473" w14:textId="77777777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52,5R</w:t>
      </w:r>
    </w:p>
    <w:p w14:paraId="771F412D" w14:textId="7777777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Stosowane cementy powinny charakteryzować się następującym składem:</w:t>
      </w:r>
    </w:p>
    <w:p w14:paraId="05144FDD" w14:textId="77777777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zawartość krzemianu trójwapniowego alitu (C</w:t>
      </w:r>
      <w:r w:rsidRPr="003E4273">
        <w:rPr>
          <w:rFonts w:ascii="Lato" w:hAnsi="Lato" w:cs="Arial"/>
          <w:color w:val="auto"/>
          <w:sz w:val="20"/>
          <w:szCs w:val="20"/>
          <w:vertAlign w:val="subscript"/>
        </w:rPr>
        <w:t>3</w:t>
      </w:r>
      <w:r w:rsidRPr="003E4273">
        <w:rPr>
          <w:rFonts w:ascii="Lato" w:hAnsi="Lato" w:cs="Arial"/>
          <w:color w:val="auto"/>
          <w:sz w:val="20"/>
          <w:szCs w:val="20"/>
        </w:rPr>
        <w:t>S) do 60%,</w:t>
      </w:r>
    </w:p>
    <w:p w14:paraId="77489624" w14:textId="77777777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zawartość alkaliów do 0,6%,</w:t>
      </w:r>
    </w:p>
    <w:p w14:paraId="36B4E082" w14:textId="77777777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zawartość alkaliów pod warunkiem zastosowania kruszywa niereaktywnego do 0,9%,</w:t>
      </w:r>
    </w:p>
    <w:p w14:paraId="5415B7C3" w14:textId="77777777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zawartość C</w:t>
      </w:r>
      <w:r w:rsidRPr="003E4273">
        <w:rPr>
          <w:rFonts w:ascii="Lato" w:hAnsi="Lato" w:cs="Arial"/>
          <w:color w:val="auto"/>
          <w:sz w:val="20"/>
          <w:szCs w:val="20"/>
          <w:vertAlign w:val="subscript"/>
        </w:rPr>
        <w:t>4</w:t>
      </w:r>
      <w:r w:rsidRPr="003E4273">
        <w:rPr>
          <w:rFonts w:ascii="Lato" w:hAnsi="Lato" w:cs="Arial"/>
          <w:color w:val="auto"/>
          <w:sz w:val="20"/>
          <w:szCs w:val="20"/>
        </w:rPr>
        <w:t>AF + 2 x C</w:t>
      </w:r>
      <w:r w:rsidRPr="003E4273">
        <w:rPr>
          <w:rFonts w:ascii="Lato" w:hAnsi="Lato" w:cs="Arial"/>
          <w:color w:val="auto"/>
          <w:sz w:val="20"/>
          <w:szCs w:val="20"/>
          <w:vertAlign w:val="subscript"/>
        </w:rPr>
        <w:t>3</w:t>
      </w:r>
      <w:r w:rsidRPr="003E4273">
        <w:rPr>
          <w:rFonts w:ascii="Lato" w:hAnsi="Lato" w:cs="Arial"/>
          <w:color w:val="auto"/>
          <w:sz w:val="20"/>
          <w:szCs w:val="20"/>
        </w:rPr>
        <w:t>A ≤ 20%,</w:t>
      </w:r>
    </w:p>
    <w:p w14:paraId="60379A31" w14:textId="77777777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zawartość glinianu trójwapniowego C</w:t>
      </w:r>
      <w:r w:rsidRPr="003E4273">
        <w:rPr>
          <w:rFonts w:ascii="Lato" w:hAnsi="Lato" w:cs="Arial"/>
          <w:color w:val="auto"/>
          <w:sz w:val="20"/>
          <w:szCs w:val="20"/>
          <w:vertAlign w:val="subscript"/>
        </w:rPr>
        <w:t>3</w:t>
      </w:r>
      <w:r w:rsidRPr="003E4273">
        <w:rPr>
          <w:rFonts w:ascii="Lato" w:hAnsi="Lato" w:cs="Arial"/>
          <w:color w:val="auto"/>
          <w:sz w:val="20"/>
          <w:szCs w:val="20"/>
        </w:rPr>
        <w:t>A ≤ 7%.</w:t>
      </w:r>
    </w:p>
    <w:p w14:paraId="50232849" w14:textId="36AB73EC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Cement pochodzący z każdej dostawy musi spełniać wymagania zawarte w PN-EN 197-1:20</w:t>
      </w:r>
      <w:r w:rsidR="00ED7C61" w:rsidRPr="003E4273">
        <w:rPr>
          <w:rFonts w:ascii="Lato" w:hAnsi="Lato" w:cs="Arial"/>
          <w:color w:val="auto"/>
          <w:sz w:val="20"/>
          <w:szCs w:val="20"/>
        </w:rPr>
        <w:t>1</w:t>
      </w:r>
      <w:r w:rsidRPr="003E4273">
        <w:rPr>
          <w:rFonts w:ascii="Lato" w:hAnsi="Lato" w:cs="Arial"/>
          <w:color w:val="auto"/>
          <w:sz w:val="20"/>
          <w:szCs w:val="20"/>
        </w:rPr>
        <w:t>2. Przed użyciem cementu do wykonania mieszanki betonowej należy przeprowadzić kontrolę obejmującą:</w:t>
      </w:r>
    </w:p>
    <w:p w14:paraId="6FCD543B" w14:textId="023648D3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oznaczenie wytrzymałości wg PN-EN 196-1</w:t>
      </w:r>
      <w:r w:rsidR="00185B12" w:rsidRPr="003E4273">
        <w:rPr>
          <w:rFonts w:ascii="Lato" w:hAnsi="Lato" w:cs="Arial"/>
          <w:color w:val="auto"/>
          <w:sz w:val="20"/>
          <w:szCs w:val="20"/>
        </w:rPr>
        <w:t>:2016-07</w:t>
      </w:r>
      <w:r w:rsidRPr="003E4273">
        <w:rPr>
          <w:rFonts w:ascii="Lato" w:hAnsi="Lato" w:cs="Arial"/>
          <w:color w:val="auto"/>
          <w:sz w:val="20"/>
          <w:szCs w:val="20"/>
        </w:rPr>
        <w:t>,</w:t>
      </w:r>
    </w:p>
    <w:p w14:paraId="332541DD" w14:textId="48FD966F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oznaczenie czasu wiązania wg PN-EN 196-3</w:t>
      </w:r>
      <w:r w:rsidR="004448A7" w:rsidRPr="003E4273">
        <w:rPr>
          <w:rFonts w:ascii="Lato" w:hAnsi="Lato" w:cs="Arial"/>
          <w:color w:val="auto"/>
          <w:sz w:val="20"/>
          <w:szCs w:val="20"/>
        </w:rPr>
        <w:t>:2016-12</w:t>
      </w:r>
      <w:r w:rsidRPr="003E4273">
        <w:rPr>
          <w:rFonts w:ascii="Lato" w:hAnsi="Lato" w:cs="Arial"/>
          <w:color w:val="auto"/>
          <w:sz w:val="20"/>
          <w:szCs w:val="20"/>
        </w:rPr>
        <w:t>,</w:t>
      </w:r>
    </w:p>
    <w:p w14:paraId="375C7A73" w14:textId="09571B12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oznaczenie zmiany objętości wg PN-EN 196-3</w:t>
      </w:r>
      <w:r w:rsidR="004448A7" w:rsidRPr="003E4273">
        <w:rPr>
          <w:rFonts w:ascii="Lato" w:hAnsi="Lato" w:cs="Arial"/>
          <w:color w:val="auto"/>
          <w:sz w:val="20"/>
          <w:szCs w:val="20"/>
        </w:rPr>
        <w:t>:2016-12</w:t>
      </w:r>
      <w:r w:rsidRPr="003E4273">
        <w:rPr>
          <w:rFonts w:ascii="Lato" w:hAnsi="Lato" w:cs="Arial"/>
          <w:color w:val="auto"/>
          <w:sz w:val="20"/>
          <w:szCs w:val="20"/>
        </w:rPr>
        <w:t>,</w:t>
      </w:r>
    </w:p>
    <w:p w14:paraId="71D26C56" w14:textId="77777777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sprawdzenie zawartości grudek cementu nie dających się rozgnieść w palcach i nie rozpadających się w wodzie.</w:t>
      </w:r>
    </w:p>
    <w:p w14:paraId="309301ED" w14:textId="7777777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Wyniki badań powinny spełniać następujące wymagania:</w:t>
      </w:r>
    </w:p>
    <w:p w14:paraId="677983EE" w14:textId="77777777" w:rsidR="00D23CA7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początek wiązania najwcześniej po upływie 60 minut,</w:t>
      </w:r>
    </w:p>
    <w:p w14:paraId="12BD9D1E" w14:textId="133674A6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koniec wiązania najpóźniej po upływie 10 godz.,</w:t>
      </w:r>
    </w:p>
    <w:p w14:paraId="0F414E56" w14:textId="77777777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oznaczenie zmiany objętości: nie więcej niż 8 mm.</w:t>
      </w:r>
    </w:p>
    <w:p w14:paraId="5766E2D4" w14:textId="77777777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Nie dopuszcza się występowania w cemencie portlandzkim normalnie i szybko twardniejącym, większej niż 20% ciężaru cementu ilości grudek niedających się rozgnieść w palcach i nierozpadających się w wodzie. Grudki należy usunąć poprzez przesianie przez sito o boku oczka kwadratowego 2 mm. W przypadku, gdy wymienione badania wykażą niezgodność z normami, cement nie może być użyty do wykonania betonu.</w:t>
      </w:r>
    </w:p>
    <w:p w14:paraId="2118B197" w14:textId="7777777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Magazynowanie:</w:t>
      </w:r>
    </w:p>
    <w:p w14:paraId="4B61A7C6" w14:textId="77777777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lastRenderedPageBreak/>
        <w:t>cement pakowany (workowany) – składy otwarte (wydzielone miejsca zadaszone na otwartym terenie, zabezpieczone z boków przed opadami) lub magazyny zamknięte (budynki lub pomieszczenia o szczelnym dachu i ścianach);</w:t>
      </w:r>
    </w:p>
    <w:p w14:paraId="7C6E406D" w14:textId="77777777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cement luzem – magazyny specjalne (zbiorniki stalowe lub żelbetowe przystosowane do pneumatycznego załadunku i wyładunku cementu luzem, zaopatrzone w urządzenia do przeprowadzania kontroli objętości cementu znajdującego się w zbiorniku lub otwory do przeprowadzania kontroli objętości cementu, włazy do czyszczenia oraz klamry na wewnętrznych ścianach).</w:t>
      </w:r>
    </w:p>
    <w:p w14:paraId="2CAA8C36" w14:textId="77777777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Podłoża składów otwartych powinny być twarde i suche, odpowiednio pochylone, zabezpieczające cement przed ściekami wody deszczowej i zanieczyszczeń. Podłogi magazynów zamkniętych powinny być suche i czyste, zabezpieczające cement przed zawilgoceniem i zanieczyszczeniem.</w:t>
      </w:r>
    </w:p>
    <w:p w14:paraId="25D1BBC6" w14:textId="77777777" w:rsidR="00163219" w:rsidRPr="003E4273" w:rsidRDefault="002C2B59" w:rsidP="00D23CA7">
      <w:pPr>
        <w:spacing w:after="0" w:line="259" w:lineRule="auto"/>
        <w:ind w:right="-12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Dopuszczalny okres przechowywania cementu zależny jest od miejsca przechowywania.</w:t>
      </w:r>
    </w:p>
    <w:p w14:paraId="7A1D71B2" w14:textId="7777777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Cement nie może być użyty do betonu po okresie:</w:t>
      </w:r>
    </w:p>
    <w:p w14:paraId="569FA08A" w14:textId="77777777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10 dni, w przypadku przechowywania go w zadaszonych składach otwartych,</w:t>
      </w:r>
    </w:p>
    <w:p w14:paraId="44DEB71B" w14:textId="77777777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po upływie terminu trwałości podanego przez wytwórnię, w przypadku przechowywania w składach zamkniętych.</w:t>
      </w:r>
    </w:p>
    <w:p w14:paraId="62E4182B" w14:textId="1D9183FC" w:rsidR="00D23CA7" w:rsidRPr="003E4273" w:rsidRDefault="002C2B59" w:rsidP="00472E5C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0" w:line="220" w:lineRule="auto"/>
        <w:ind w:left="59" w:right="62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Każda partia cementu, dla której wydano oddzielne świadectwo jakości powinna być przechowywana osobno w sposób umożliwiający jej łatwe rozróżnienie.</w:t>
      </w:r>
    </w:p>
    <w:p w14:paraId="7DFFD24A" w14:textId="58039C56" w:rsidR="00163219" w:rsidRPr="003E4273" w:rsidRDefault="002C2B59" w:rsidP="00191A05">
      <w:pPr>
        <w:spacing w:after="0" w:line="248" w:lineRule="auto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 xml:space="preserve">2.2.2. </w:t>
      </w:r>
      <w:r w:rsidR="00472E5C" w:rsidRPr="003E4273">
        <w:rPr>
          <w:rFonts w:ascii="Lato" w:hAnsi="Lato" w:cs="Arial"/>
          <w:color w:val="auto"/>
          <w:sz w:val="20"/>
          <w:szCs w:val="20"/>
        </w:rPr>
        <w:t xml:space="preserve">  </w:t>
      </w:r>
      <w:r w:rsidRPr="003E4273">
        <w:rPr>
          <w:rFonts w:ascii="Lato" w:hAnsi="Lato" w:cs="Arial"/>
          <w:color w:val="auto"/>
          <w:sz w:val="20"/>
          <w:szCs w:val="20"/>
        </w:rPr>
        <w:t>Kruszywo</w:t>
      </w:r>
    </w:p>
    <w:p w14:paraId="5A33546C" w14:textId="7777777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Kruszywo do betonu powinno charakteryzować się stałością cech fizycznych i jednorodnością uziarnienia pozwalającą na wykonanie partii betonu o stałej jakości.</w:t>
      </w:r>
    </w:p>
    <w:p w14:paraId="7E3A90AB" w14:textId="77777777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Poszczególne rodzaje i frakcje kruszywa muszą być na placu oddzielnie składowane, na umocnionym i czystym podłożu w sposób uniemożliwiający mieszanie się.</w:t>
      </w:r>
    </w:p>
    <w:p w14:paraId="27CCDD5E" w14:textId="7F7BB4D2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Kruszywa grube powinny spełniać wymagania norm PN-EN 932</w:t>
      </w:r>
      <w:r w:rsidR="00423D23" w:rsidRPr="003E4273">
        <w:rPr>
          <w:rFonts w:ascii="Lato" w:hAnsi="Lato" w:cs="Arial"/>
          <w:color w:val="auto"/>
          <w:sz w:val="20"/>
          <w:szCs w:val="20"/>
        </w:rPr>
        <w:t xml:space="preserve">-1:1999 </w:t>
      </w:r>
      <w:r w:rsidRPr="003E4273">
        <w:rPr>
          <w:rFonts w:ascii="Lato" w:hAnsi="Lato" w:cs="Arial"/>
          <w:color w:val="auto"/>
          <w:sz w:val="20"/>
          <w:szCs w:val="20"/>
        </w:rPr>
        <w:t>oraz PN-EN 933</w:t>
      </w:r>
      <w:r w:rsidR="00423D23" w:rsidRPr="003E4273">
        <w:rPr>
          <w:rFonts w:ascii="Lato" w:hAnsi="Lato" w:cs="Arial"/>
          <w:color w:val="auto"/>
          <w:sz w:val="20"/>
          <w:szCs w:val="20"/>
        </w:rPr>
        <w:t>-1:2012</w:t>
      </w:r>
      <w:r w:rsidRPr="003E4273">
        <w:rPr>
          <w:rFonts w:ascii="Lato" w:hAnsi="Lato" w:cs="Arial"/>
          <w:color w:val="auto"/>
          <w:sz w:val="20"/>
          <w:szCs w:val="20"/>
        </w:rPr>
        <w:t>. W kruszywie grubym nie dopuszcza się grudek gliny. W kruszywie grubszym zawartość podziarna nie powinna przekraczać 5%, a nadziarna 10%. Ziarna kruszywa nie powinny być większe niż:</w:t>
      </w:r>
    </w:p>
    <w:p w14:paraId="795532B1" w14:textId="77777777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1/3 najmniejszego wymiaru przekroju poprzecznego elementu betonowego,</w:t>
      </w:r>
    </w:p>
    <w:p w14:paraId="54869E72" w14:textId="77777777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3/4 odległości w świetle między prętami zbrojenia, leżącymi w jednej płaszczyźnie prostopadłej do kierunku betonowania.</w:t>
      </w:r>
    </w:p>
    <w:p w14:paraId="4B7955DA" w14:textId="77777777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Do betonów klas C25/30 i wyższych należy stosować wyłącznie grysy granitowe lub bazaltowe marki 50, o maksymalnym wymiarze ziarna 16 mm.</w:t>
      </w:r>
    </w:p>
    <w:p w14:paraId="08DF6F41" w14:textId="77777777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Stosowanie grysów z innych skał dopuszcza się pod warunkiem, że zostały one zbadane w placówce badawczej wskazanej przez zamawiającego, a wyniki badań spełniają wymagania dotyczące grysów granitowych i bazaltowych.</w:t>
      </w:r>
    </w:p>
    <w:p w14:paraId="7EBBC908" w14:textId="7777777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Grysy powinny odpowiadać następującym wymaganiom:</w:t>
      </w:r>
    </w:p>
    <w:p w14:paraId="051C2F7F" w14:textId="77777777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zawartość pyłów mineralnych – do 1%,</w:t>
      </w:r>
    </w:p>
    <w:p w14:paraId="6044CE1F" w14:textId="77777777" w:rsidR="00D23CA7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zawartość ziaren nieforemnych (to jest wydłużonych płaskich) – do 20%,</w:t>
      </w:r>
    </w:p>
    <w:p w14:paraId="2556CAB8" w14:textId="61579BE3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wskaźnik rozkruszenia:</w:t>
      </w:r>
    </w:p>
    <w:p w14:paraId="0DABB56F" w14:textId="77777777" w:rsidR="00163219" w:rsidRPr="003E4273" w:rsidRDefault="002C2B59" w:rsidP="00191A05">
      <w:pPr>
        <w:numPr>
          <w:ilvl w:val="3"/>
          <w:numId w:val="6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dla grysów granitowych – do 16%,</w:t>
      </w:r>
    </w:p>
    <w:p w14:paraId="0F5C2CD5" w14:textId="77777777" w:rsidR="00163219" w:rsidRPr="003E4273" w:rsidRDefault="002C2B59" w:rsidP="00191A05">
      <w:pPr>
        <w:numPr>
          <w:ilvl w:val="3"/>
          <w:numId w:val="6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dla grysów bazaltowych i innych – do 8%,</w:t>
      </w:r>
    </w:p>
    <w:p w14:paraId="5E30A21F" w14:textId="77777777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nasiąkliwość – do 1,2%,</w:t>
      </w:r>
    </w:p>
    <w:p w14:paraId="0AC868B0" w14:textId="77777777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mrozoodporność według metody bezpośredniej – do 2%,</w:t>
      </w:r>
    </w:p>
    <w:p w14:paraId="4564F138" w14:textId="77777777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mrozoodporność wg zmodyfikowanej metody bezpośredniej do 10%,</w:t>
      </w:r>
    </w:p>
    <w:p w14:paraId="68227348" w14:textId="5AB34FAC" w:rsidR="00163219" w:rsidRPr="003E4273" w:rsidRDefault="002C2B59" w:rsidP="00D23CA7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reaktywność alkaliczna z cementem określona wg normy PN-EN 480-12:200</w:t>
      </w:r>
      <w:r w:rsidR="00F51359" w:rsidRPr="003E4273">
        <w:rPr>
          <w:rFonts w:ascii="Lato" w:hAnsi="Lato" w:cs="Arial"/>
          <w:color w:val="auto"/>
          <w:sz w:val="20"/>
          <w:szCs w:val="20"/>
        </w:rPr>
        <w:t>8</w:t>
      </w:r>
      <w:r w:rsidRPr="003E4273">
        <w:rPr>
          <w:rFonts w:ascii="Lato" w:hAnsi="Lato" w:cs="Arial"/>
          <w:color w:val="auto"/>
          <w:sz w:val="20"/>
          <w:szCs w:val="20"/>
        </w:rPr>
        <w:t xml:space="preserve"> nie powinna wywoływać zwiększenia wymiarów liniowych ponad 0,1%,</w:t>
      </w:r>
    </w:p>
    <w:p w14:paraId="0CAD7FAE" w14:textId="77777777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zawartość związków siarki – do 0,1%,</w:t>
      </w:r>
    </w:p>
    <w:p w14:paraId="7707E69D" w14:textId="77777777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zawartość zanieczyszczeń obcych – do 0,25%,</w:t>
      </w:r>
    </w:p>
    <w:p w14:paraId="0526FBEA" w14:textId="77777777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zawartość zanieczyszczeń organicznych, nie dających barwy ciemniejszej od wzorcowej.</w:t>
      </w:r>
    </w:p>
    <w:p w14:paraId="439B029F" w14:textId="77777777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Kruszywem drobnym powinny być piaski o uziarnieniu do 2 mm pochodzenia rzecznego lub kompozycja piasku rzecznego i kopalnianego uszlachetnionego.</w:t>
      </w:r>
    </w:p>
    <w:p w14:paraId="2CC05399" w14:textId="77777777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Zawartość poszczególnych frakcji w stosie okruchowym piasku powinna się mieścić w granicach:</w:t>
      </w:r>
    </w:p>
    <w:p w14:paraId="6953D325" w14:textId="77777777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do 0,25 mm – 14÷19%,</w:t>
      </w:r>
    </w:p>
    <w:p w14:paraId="73458D04" w14:textId="77777777" w:rsidR="00D23CA7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 xml:space="preserve">do 0,50 mm – 33÷48%, </w:t>
      </w:r>
    </w:p>
    <w:p w14:paraId="4FD825FB" w14:textId="7F0EA4F8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do 1,00 mm – 53÷76%.</w:t>
      </w:r>
    </w:p>
    <w:p w14:paraId="3235EB78" w14:textId="7777777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Piasek powinien spełniać następujące wymagania:</w:t>
      </w:r>
    </w:p>
    <w:p w14:paraId="599739E7" w14:textId="77777777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zawartość pyłów mineralnych – do 1,5%,</w:t>
      </w:r>
    </w:p>
    <w:p w14:paraId="0B27DD0C" w14:textId="3B245225" w:rsidR="00163219" w:rsidRPr="003E4273" w:rsidRDefault="002C2B59" w:rsidP="00F51359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reaktywność alkaliczna z cementem określona wg normy PN-EN 480-12:20</w:t>
      </w:r>
      <w:r w:rsidR="00F51359" w:rsidRPr="003E4273">
        <w:rPr>
          <w:rFonts w:ascii="Lato" w:hAnsi="Lato" w:cs="Arial"/>
          <w:color w:val="auto"/>
          <w:sz w:val="20"/>
          <w:szCs w:val="20"/>
        </w:rPr>
        <w:t xml:space="preserve">08 </w:t>
      </w:r>
      <w:r w:rsidRPr="003E4273">
        <w:rPr>
          <w:rFonts w:ascii="Lato" w:hAnsi="Lato" w:cs="Arial"/>
          <w:color w:val="auto"/>
          <w:sz w:val="20"/>
          <w:szCs w:val="20"/>
        </w:rPr>
        <w:t>nie powinna wywoływać zwiększenia wymiarów liniowych ponad 0,1%,</w:t>
      </w:r>
    </w:p>
    <w:p w14:paraId="1357D893" w14:textId="77777777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zawartość związków siarki – do 0,2%,</w:t>
      </w:r>
    </w:p>
    <w:p w14:paraId="2C1C3042" w14:textId="77777777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zawartość zanieczyszczeń obcych – do 0,25%,</w:t>
      </w:r>
    </w:p>
    <w:p w14:paraId="433DEAD0" w14:textId="77777777" w:rsidR="005839CE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 xml:space="preserve">zawartość zanieczyszczeń organicznych – nie dająca barwy ciemniejszej od wzorcowej, </w:t>
      </w:r>
    </w:p>
    <w:p w14:paraId="507417F0" w14:textId="1AA1274F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w kruszywie drobnym nie dopuszcza się grudek gliny.</w:t>
      </w:r>
    </w:p>
    <w:p w14:paraId="10C7225D" w14:textId="7777777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Piasek pochodzący z każdej dostawy musi być poddany badaniom obejmującym:</w:t>
      </w:r>
    </w:p>
    <w:p w14:paraId="427E0AE6" w14:textId="2DC72201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lastRenderedPageBreak/>
        <w:t>oznaczenie składu ziarnowego wg normy PN-EN 933-1:20</w:t>
      </w:r>
      <w:r w:rsidR="00CA5847" w:rsidRPr="003E4273">
        <w:rPr>
          <w:rFonts w:ascii="Lato" w:hAnsi="Lato" w:cs="Arial"/>
          <w:color w:val="auto"/>
          <w:sz w:val="20"/>
          <w:szCs w:val="20"/>
        </w:rPr>
        <w:t>12</w:t>
      </w:r>
      <w:r w:rsidRPr="003E4273">
        <w:rPr>
          <w:rFonts w:ascii="Lato" w:hAnsi="Lato" w:cs="Arial"/>
          <w:color w:val="auto"/>
          <w:sz w:val="20"/>
          <w:szCs w:val="20"/>
        </w:rPr>
        <w:t xml:space="preserve"> lub PN-EN 933-2:</w:t>
      </w:r>
      <w:r w:rsidR="00CA5847" w:rsidRPr="003E4273">
        <w:rPr>
          <w:rFonts w:ascii="Lato" w:hAnsi="Lato" w:cs="Arial"/>
          <w:color w:val="auto"/>
          <w:sz w:val="20"/>
          <w:szCs w:val="20"/>
        </w:rPr>
        <w:t>2021-01</w:t>
      </w:r>
      <w:r w:rsidRPr="003E4273">
        <w:rPr>
          <w:rFonts w:ascii="Lato" w:hAnsi="Lato" w:cs="Arial"/>
          <w:color w:val="auto"/>
          <w:sz w:val="20"/>
          <w:szCs w:val="20"/>
        </w:rPr>
        <w:t>,</w:t>
      </w:r>
    </w:p>
    <w:p w14:paraId="7874ED79" w14:textId="77777777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oznaczenie zawartości zanieczyszczeń obcych wg normy PN-EN 933-7:2000,</w:t>
      </w:r>
    </w:p>
    <w:p w14:paraId="38C72595" w14:textId="77777777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oznaczenie zawartości grudek gliny, które oznacza się podobnie, jak zawartość zanieczyszczeń obcych,</w:t>
      </w:r>
    </w:p>
    <w:p w14:paraId="4AF98AE3" w14:textId="5B2B50DE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oznaczenie zawartości pyłów mineralnych wg normy PN-EN 933-8:20</w:t>
      </w:r>
      <w:r w:rsidR="00147678" w:rsidRPr="003E4273">
        <w:rPr>
          <w:rFonts w:ascii="Lato" w:hAnsi="Lato" w:cs="Arial"/>
          <w:color w:val="auto"/>
          <w:sz w:val="20"/>
          <w:szCs w:val="20"/>
        </w:rPr>
        <w:t>12</w:t>
      </w:r>
      <w:r w:rsidRPr="003E4273">
        <w:rPr>
          <w:rFonts w:ascii="Lato" w:hAnsi="Lato" w:cs="Arial"/>
          <w:color w:val="auto"/>
          <w:sz w:val="20"/>
          <w:szCs w:val="20"/>
        </w:rPr>
        <w:t>,  PN-EN 933-9:20</w:t>
      </w:r>
      <w:r w:rsidR="00457E83" w:rsidRPr="003E4273">
        <w:rPr>
          <w:rFonts w:ascii="Lato" w:hAnsi="Lato" w:cs="Arial"/>
          <w:color w:val="auto"/>
          <w:sz w:val="20"/>
          <w:szCs w:val="20"/>
        </w:rPr>
        <w:t>22-07</w:t>
      </w:r>
      <w:r w:rsidRPr="003E4273">
        <w:rPr>
          <w:rFonts w:ascii="Lato" w:hAnsi="Lato" w:cs="Arial"/>
          <w:color w:val="auto"/>
          <w:sz w:val="20"/>
          <w:szCs w:val="20"/>
        </w:rPr>
        <w:t xml:space="preserve"> lub PN-EN 933-10:200</w:t>
      </w:r>
      <w:r w:rsidR="00457E83" w:rsidRPr="003E4273">
        <w:rPr>
          <w:rFonts w:ascii="Lato" w:hAnsi="Lato" w:cs="Arial"/>
          <w:color w:val="auto"/>
          <w:sz w:val="20"/>
          <w:szCs w:val="20"/>
        </w:rPr>
        <w:t>9</w:t>
      </w:r>
      <w:r w:rsidRPr="003E4273">
        <w:rPr>
          <w:rFonts w:ascii="Lato" w:hAnsi="Lato" w:cs="Arial"/>
          <w:color w:val="auto"/>
          <w:sz w:val="20"/>
          <w:szCs w:val="20"/>
        </w:rPr>
        <w:t xml:space="preserve"> </w:t>
      </w:r>
    </w:p>
    <w:p w14:paraId="6252046C" w14:textId="45237228" w:rsidR="00163219" w:rsidRPr="003E4273" w:rsidRDefault="002C2B59" w:rsidP="00191A05">
      <w:pPr>
        <w:spacing w:after="0" w:line="248" w:lineRule="auto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Dostawca kruszywa jest zobowiązany do przekazania dla każdej partii kruszywa wyników jego pełnych badań wg normy PN-EN 932</w:t>
      </w:r>
      <w:r w:rsidR="00423D23" w:rsidRPr="003E4273">
        <w:rPr>
          <w:rFonts w:ascii="Lato" w:hAnsi="Lato" w:cs="Arial"/>
          <w:color w:val="auto"/>
          <w:sz w:val="20"/>
          <w:szCs w:val="20"/>
        </w:rPr>
        <w:t>-1:1999</w:t>
      </w:r>
      <w:r w:rsidRPr="003E4273">
        <w:rPr>
          <w:rFonts w:ascii="Lato" w:hAnsi="Lato" w:cs="Arial"/>
          <w:color w:val="auto"/>
          <w:sz w:val="20"/>
          <w:szCs w:val="20"/>
        </w:rPr>
        <w:t xml:space="preserve"> i PN-EN 933</w:t>
      </w:r>
      <w:r w:rsidR="00423D23" w:rsidRPr="003E4273">
        <w:rPr>
          <w:rFonts w:ascii="Lato" w:hAnsi="Lato" w:cs="Arial"/>
          <w:color w:val="auto"/>
          <w:sz w:val="20"/>
          <w:szCs w:val="20"/>
        </w:rPr>
        <w:t>-1:2012</w:t>
      </w:r>
      <w:r w:rsidRPr="003E4273">
        <w:rPr>
          <w:rFonts w:ascii="Lato" w:hAnsi="Lato" w:cs="Arial"/>
          <w:color w:val="auto"/>
          <w:sz w:val="20"/>
          <w:szCs w:val="20"/>
        </w:rPr>
        <w:t xml:space="preserve"> oraz wyników badania specjalnego dotyczące reaktywności alkalicznej w terminach przewidzianych przez Inspektora nadzoru.</w:t>
      </w:r>
    </w:p>
    <w:p w14:paraId="24E686DE" w14:textId="5DFF2B75" w:rsidR="00D23CA7" w:rsidRPr="003E4273" w:rsidRDefault="002C2B59" w:rsidP="007454C6">
      <w:pPr>
        <w:spacing w:after="0" w:line="248" w:lineRule="auto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W przypadku, gdy kontrola wykaże niezgodność cech danego kruszywa z wymaganiami normy PN-EN 932</w:t>
      </w:r>
      <w:r w:rsidR="00423D23" w:rsidRPr="003E4273">
        <w:rPr>
          <w:rFonts w:ascii="Lato" w:hAnsi="Lato" w:cs="Arial"/>
          <w:color w:val="auto"/>
          <w:sz w:val="20"/>
          <w:szCs w:val="20"/>
        </w:rPr>
        <w:t>-1-1999</w:t>
      </w:r>
      <w:r w:rsidRPr="003E4273">
        <w:rPr>
          <w:rFonts w:ascii="Lato" w:hAnsi="Lato" w:cs="Arial"/>
          <w:color w:val="auto"/>
          <w:sz w:val="20"/>
          <w:szCs w:val="20"/>
        </w:rPr>
        <w:t xml:space="preserve"> i PN-EN 933</w:t>
      </w:r>
      <w:r w:rsidR="00457E83" w:rsidRPr="003E4273">
        <w:rPr>
          <w:rFonts w:ascii="Lato" w:hAnsi="Lato" w:cs="Arial"/>
          <w:color w:val="auto"/>
          <w:sz w:val="20"/>
          <w:szCs w:val="20"/>
        </w:rPr>
        <w:t>-1:2012</w:t>
      </w:r>
      <w:r w:rsidRPr="003E4273">
        <w:rPr>
          <w:rFonts w:ascii="Lato" w:hAnsi="Lato" w:cs="Arial"/>
          <w:color w:val="auto"/>
          <w:sz w:val="20"/>
          <w:szCs w:val="20"/>
        </w:rPr>
        <w:t>, użycie takiego kruszywa może nastąpić po jego uszlachetnieniu (np. przez płukanie lub dodanie odpowiednich frakcji kruszywa) i ponownym sprawdzeniu. Należy prowadzić bieżącą kontrolę wilgotności kruszywa wg normy PN-EN 1097-6:20</w:t>
      </w:r>
      <w:r w:rsidR="004418B5" w:rsidRPr="003E4273">
        <w:rPr>
          <w:rFonts w:ascii="Lato" w:hAnsi="Lato" w:cs="Arial"/>
          <w:color w:val="auto"/>
          <w:sz w:val="20"/>
          <w:szCs w:val="20"/>
        </w:rPr>
        <w:t>22-07</w:t>
      </w:r>
      <w:r w:rsidRPr="003E4273">
        <w:rPr>
          <w:rFonts w:ascii="Lato" w:hAnsi="Lato" w:cs="Arial"/>
          <w:color w:val="auto"/>
          <w:sz w:val="20"/>
          <w:szCs w:val="20"/>
        </w:rPr>
        <w:t xml:space="preserve"> dla korygowania receptury roboczej betonu. </w:t>
      </w:r>
    </w:p>
    <w:p w14:paraId="7F809AE4" w14:textId="5F1B74FA" w:rsidR="00163219" w:rsidRPr="003E4273" w:rsidRDefault="002C2B59" w:rsidP="00D23CA7">
      <w:pPr>
        <w:spacing w:after="0" w:line="248" w:lineRule="auto"/>
        <w:ind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2.2.3.</w:t>
      </w:r>
      <w:r w:rsidR="007454C6" w:rsidRPr="003E4273">
        <w:rPr>
          <w:rFonts w:ascii="Lato" w:hAnsi="Lato" w:cs="Arial"/>
          <w:color w:val="auto"/>
          <w:sz w:val="20"/>
          <w:szCs w:val="20"/>
        </w:rPr>
        <w:t xml:space="preserve"> </w:t>
      </w:r>
      <w:r w:rsidRPr="003E4273">
        <w:rPr>
          <w:rFonts w:ascii="Lato" w:hAnsi="Lato" w:cs="Arial"/>
          <w:color w:val="auto"/>
          <w:sz w:val="20"/>
          <w:szCs w:val="20"/>
        </w:rPr>
        <w:t xml:space="preserve"> </w:t>
      </w:r>
      <w:r w:rsidR="007454C6" w:rsidRPr="003E4273">
        <w:rPr>
          <w:rFonts w:ascii="Lato" w:hAnsi="Lato" w:cs="Arial"/>
          <w:color w:val="auto"/>
          <w:sz w:val="20"/>
          <w:szCs w:val="20"/>
        </w:rPr>
        <w:t xml:space="preserve"> </w:t>
      </w:r>
      <w:r w:rsidRPr="003E4273">
        <w:rPr>
          <w:rFonts w:ascii="Lato" w:hAnsi="Lato" w:cs="Arial"/>
          <w:color w:val="auto"/>
          <w:sz w:val="20"/>
          <w:szCs w:val="20"/>
        </w:rPr>
        <w:t>Woda</w:t>
      </w:r>
    </w:p>
    <w:p w14:paraId="03C3201B" w14:textId="7777777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Do przygotowania mieszanki betonowej i skrapiania podłoża stosować można wodę odpowiadającą wymaganiom normy PN-EN 1008-1:2004 „Woda zarobowa do betonu.</w:t>
      </w:r>
    </w:p>
    <w:p w14:paraId="6FB36846" w14:textId="7777777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Specyfikacja pobierania próbek, badanie i ocena przydatności wody zarobowej do betonu, w tym wody odzyskanej z procesów produkcji betonu”. Bez badań laboratoryjnych można stosować wodociągową wodę pitną.</w:t>
      </w:r>
    </w:p>
    <w:p w14:paraId="463BDC0D" w14:textId="144590F7" w:rsidR="00D23CA7" w:rsidRPr="003E4273" w:rsidRDefault="002C2B59" w:rsidP="007454C6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Niedozwolone jest użycie wód ściekowych, kanalizacyjnych, bagiennych oraz wód zawierających tłuszcze organiczne, oleje i muł.</w:t>
      </w:r>
    </w:p>
    <w:p w14:paraId="2C7BE539" w14:textId="7CC650EC" w:rsidR="00163219" w:rsidRPr="003E4273" w:rsidRDefault="002C2B59" w:rsidP="00191A05">
      <w:pPr>
        <w:spacing w:after="0" w:line="248" w:lineRule="auto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 xml:space="preserve">2.2.4. </w:t>
      </w:r>
      <w:r w:rsidR="007454C6" w:rsidRPr="003E4273">
        <w:rPr>
          <w:rFonts w:ascii="Lato" w:hAnsi="Lato" w:cs="Arial"/>
          <w:color w:val="auto"/>
          <w:sz w:val="20"/>
          <w:szCs w:val="20"/>
        </w:rPr>
        <w:t xml:space="preserve">  </w:t>
      </w:r>
      <w:r w:rsidRPr="003E4273">
        <w:rPr>
          <w:rFonts w:ascii="Lato" w:hAnsi="Lato" w:cs="Arial"/>
          <w:color w:val="auto"/>
          <w:sz w:val="20"/>
          <w:szCs w:val="20"/>
        </w:rPr>
        <w:t>Domieszki i dodatki do betonu</w:t>
      </w:r>
    </w:p>
    <w:p w14:paraId="2815781A" w14:textId="7777777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Zaleca się stosowanie do mieszanek betonowych domieszek chemicznych o działaniu:</w:t>
      </w:r>
    </w:p>
    <w:p w14:paraId="5AAD405B" w14:textId="77777777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napowietrzającym,</w:t>
      </w:r>
    </w:p>
    <w:p w14:paraId="438AC4C4" w14:textId="77777777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uplastyczniającym,</w:t>
      </w:r>
    </w:p>
    <w:p w14:paraId="3DAB67A6" w14:textId="77777777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przyśpieszającym lub opóźniającym wiązanie.</w:t>
      </w:r>
    </w:p>
    <w:p w14:paraId="5A18E474" w14:textId="77777777" w:rsidR="00F84B17" w:rsidRPr="003E4273" w:rsidRDefault="002C2B59" w:rsidP="00191A05">
      <w:pPr>
        <w:spacing w:after="0" w:line="224" w:lineRule="auto"/>
        <w:ind w:left="-5" w:right="4102"/>
        <w:jc w:val="left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 xml:space="preserve">Dopuszcza się stosowanie domieszek kompleksowych: </w:t>
      </w:r>
    </w:p>
    <w:p w14:paraId="0B4351D1" w14:textId="0A0516FF" w:rsidR="00F84B17" w:rsidRPr="003E4273" w:rsidRDefault="002C2B59" w:rsidP="00191A05">
      <w:pPr>
        <w:spacing w:after="0" w:line="224" w:lineRule="auto"/>
        <w:ind w:left="-5" w:right="4102"/>
        <w:jc w:val="left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–</w:t>
      </w:r>
      <w:r w:rsidR="00F84B17" w:rsidRPr="003E4273">
        <w:rPr>
          <w:rFonts w:ascii="Lato" w:hAnsi="Lato" w:cs="Arial"/>
          <w:color w:val="auto"/>
          <w:sz w:val="20"/>
          <w:szCs w:val="20"/>
        </w:rPr>
        <w:t xml:space="preserve"> </w:t>
      </w:r>
      <w:r w:rsidRPr="003E4273">
        <w:rPr>
          <w:rFonts w:ascii="Lato" w:hAnsi="Lato" w:cs="Arial"/>
          <w:color w:val="auto"/>
          <w:sz w:val="20"/>
          <w:szCs w:val="20"/>
        </w:rPr>
        <w:t xml:space="preserve">napowietrzająco-uplastyczniających, </w:t>
      </w:r>
    </w:p>
    <w:p w14:paraId="73B419FA" w14:textId="7B3DB992" w:rsidR="00163219" w:rsidRPr="003E4273" w:rsidRDefault="002C2B59" w:rsidP="00191A05">
      <w:pPr>
        <w:spacing w:after="0" w:line="224" w:lineRule="auto"/>
        <w:ind w:left="-5" w:right="4102"/>
        <w:jc w:val="left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–</w:t>
      </w:r>
      <w:r w:rsidR="00F84B17" w:rsidRPr="003E4273">
        <w:rPr>
          <w:rFonts w:ascii="Lato" w:hAnsi="Lato" w:cs="Arial"/>
          <w:color w:val="auto"/>
          <w:sz w:val="20"/>
          <w:szCs w:val="20"/>
        </w:rPr>
        <w:t xml:space="preserve"> </w:t>
      </w:r>
      <w:r w:rsidRPr="003E4273">
        <w:rPr>
          <w:rFonts w:ascii="Lato" w:hAnsi="Lato" w:cs="Arial"/>
          <w:color w:val="auto"/>
          <w:sz w:val="20"/>
          <w:szCs w:val="20"/>
        </w:rPr>
        <w:t>przyśpieszająco-uplastyczniających.</w:t>
      </w:r>
    </w:p>
    <w:p w14:paraId="744ACB39" w14:textId="004FD8FB" w:rsidR="00D23CA7" w:rsidRPr="003E4273" w:rsidRDefault="002C2B59" w:rsidP="007454C6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Domieszki do betonów muszą mieć aprobaty, wydane przez Instytut Techniki Budowlanej lub Instytut Dróg i Mostów oraz posiadać atest producenta.</w:t>
      </w:r>
    </w:p>
    <w:p w14:paraId="1243CC55" w14:textId="77777777" w:rsidR="00F84B17" w:rsidRPr="003E4273" w:rsidRDefault="00F84B17" w:rsidP="007454C6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</w:p>
    <w:p w14:paraId="6E51664A" w14:textId="50E5038E" w:rsidR="00163219" w:rsidRPr="003E4273" w:rsidRDefault="002C2B59" w:rsidP="00191A05">
      <w:pPr>
        <w:tabs>
          <w:tab w:val="center" w:pos="883"/>
        </w:tabs>
        <w:spacing w:after="0" w:line="248" w:lineRule="auto"/>
        <w:ind w:left="-15" w:right="0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3E4273">
        <w:rPr>
          <w:rFonts w:ascii="Lato" w:hAnsi="Lato" w:cs="Arial"/>
          <w:b/>
          <w:bCs/>
          <w:color w:val="auto"/>
          <w:sz w:val="20"/>
          <w:szCs w:val="20"/>
        </w:rPr>
        <w:t>2.3.</w:t>
      </w:r>
      <w:r w:rsidR="007454C6" w:rsidRPr="003E4273">
        <w:rPr>
          <w:rFonts w:ascii="Lato" w:hAnsi="Lato" w:cs="Arial"/>
          <w:b/>
          <w:bCs/>
          <w:color w:val="auto"/>
          <w:sz w:val="20"/>
          <w:szCs w:val="20"/>
        </w:rPr>
        <w:t xml:space="preserve">   </w:t>
      </w:r>
      <w:r w:rsidRPr="003E4273">
        <w:rPr>
          <w:rFonts w:ascii="Lato" w:hAnsi="Lato" w:cs="Arial"/>
          <w:b/>
          <w:bCs/>
          <w:color w:val="auto"/>
          <w:sz w:val="20"/>
          <w:szCs w:val="20"/>
        </w:rPr>
        <w:t>Beton</w:t>
      </w:r>
    </w:p>
    <w:p w14:paraId="43CE0EFB" w14:textId="7777777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Beton do konstrukcji obiektów kubaturowych musi spełniać następujące wymagania zastosowano beton klasy C25/30.</w:t>
      </w:r>
    </w:p>
    <w:p w14:paraId="532194D0" w14:textId="32189E01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nasiąkliwość – do 5%; badanie wg normy PN-EN 206</w:t>
      </w:r>
      <w:r w:rsidR="000A7055" w:rsidRPr="003E4273">
        <w:rPr>
          <w:rFonts w:ascii="Lato" w:hAnsi="Lato" w:cs="Arial"/>
          <w:color w:val="auto"/>
          <w:sz w:val="20"/>
          <w:szCs w:val="20"/>
        </w:rPr>
        <w:t>+A2:2021-08</w:t>
      </w:r>
      <w:r w:rsidRPr="003E4273">
        <w:rPr>
          <w:rFonts w:ascii="Lato" w:hAnsi="Lato" w:cs="Arial"/>
          <w:color w:val="auto"/>
          <w:sz w:val="20"/>
          <w:szCs w:val="20"/>
        </w:rPr>
        <w:t>,</w:t>
      </w:r>
    </w:p>
    <w:p w14:paraId="4A56E367" w14:textId="33A8F16E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mrozoodporność – ubytek masy nie większy od 5%, spadek wytrzymałości na ściskanie nie większy niż 20% po 150 cyklach zamrażania i odmrażania (F150); badanie wg normy PN-EN 206</w:t>
      </w:r>
      <w:r w:rsidR="000A7055" w:rsidRPr="003E4273">
        <w:rPr>
          <w:rFonts w:ascii="Lato" w:hAnsi="Lato" w:cs="Arial"/>
          <w:color w:val="auto"/>
          <w:sz w:val="20"/>
          <w:szCs w:val="20"/>
        </w:rPr>
        <w:t>+A2:2021-08</w:t>
      </w:r>
      <w:r w:rsidRPr="003E4273">
        <w:rPr>
          <w:rFonts w:ascii="Lato" w:hAnsi="Lato" w:cs="Arial"/>
          <w:color w:val="auto"/>
          <w:sz w:val="20"/>
          <w:szCs w:val="20"/>
        </w:rPr>
        <w:t>,</w:t>
      </w:r>
    </w:p>
    <w:p w14:paraId="025EB938" w14:textId="77777777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wodoszczelność – większa od 0,8MPa (W8),</w:t>
      </w:r>
    </w:p>
    <w:p w14:paraId="06F441CF" w14:textId="77777777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wskaźnik wodno-cementowy (w/c) – ma być mniejszy od 0,5.</w:t>
      </w:r>
    </w:p>
    <w:p w14:paraId="638D58F9" w14:textId="738BBA15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Skład mieszanki betonowej powinien być ustalony zgodnie z normą PN-EN 206</w:t>
      </w:r>
      <w:r w:rsidR="000A7055" w:rsidRPr="003E4273">
        <w:rPr>
          <w:rFonts w:ascii="Lato" w:hAnsi="Lato" w:cs="Arial"/>
          <w:color w:val="auto"/>
          <w:sz w:val="20"/>
          <w:szCs w:val="20"/>
        </w:rPr>
        <w:t>+A2:2021-08</w:t>
      </w:r>
      <w:r w:rsidRPr="003E4273">
        <w:rPr>
          <w:rFonts w:ascii="Lato" w:hAnsi="Lato" w:cs="Arial"/>
          <w:color w:val="auto"/>
          <w:sz w:val="20"/>
          <w:szCs w:val="20"/>
        </w:rPr>
        <w:t xml:space="preserve"> tak, aby przy najmniejszej ilości wody zapewnić szczelne ułożenie mieszanki w wyniku zagęszczania przez wibrowanie. Skład mieszanki betonowej ustala laboratorium Wykonawcy lub wytwórni betonów i wymaga on zatwierdzenia przez Inspektora nadzoru.</w:t>
      </w:r>
    </w:p>
    <w:p w14:paraId="409B30D3" w14:textId="77777777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Stosunek poszczególnych frakcji kruszywa grubego ustalany doświadczalnie powinien odpowiadać najmniejszej jamistości.</w:t>
      </w:r>
    </w:p>
    <w:p w14:paraId="1CACDA2F" w14:textId="77777777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Zawartość piasku w stosie okruchowym powinna być jak najmniejsza i jednocześnie zapewniać niezbędną urabialność przy zagęszczeniu przez wibrowanie oraz nie powinna być większa niż 42% przy kruszywie grubym do 16 mm.</w:t>
      </w:r>
    </w:p>
    <w:p w14:paraId="2E3AF426" w14:textId="77777777" w:rsidR="00163219" w:rsidRPr="003E4273" w:rsidRDefault="002C2B59" w:rsidP="00191A05">
      <w:pPr>
        <w:spacing w:after="0"/>
        <w:ind w:left="296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Optymalną zawartość piasku w mieszance betonowej ustala się następująco:</w:t>
      </w:r>
    </w:p>
    <w:p w14:paraId="26B51CB0" w14:textId="77777777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z ustalonym składem kruszywa grubego wykonuje się kilka (3÷5) mieszanek betonowych o ustalonym teoretycznie stosunku w/c i o wymaganej konsystencji zawierających różną, ale nie większą od dopuszczalnej, ilość piasku,</w:t>
      </w:r>
    </w:p>
    <w:p w14:paraId="0D1A5F56" w14:textId="77777777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za optymalną ilość piasku przyjmuje się taką, przy której mieszanka betonowa zagęszczona przez wibrowanie charakteryzuje się największą masą objętościową.</w:t>
      </w:r>
    </w:p>
    <w:p w14:paraId="47C82016" w14:textId="77777777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 xml:space="preserve">Wartość parametru A do wzoru </w:t>
      </w:r>
      <w:proofErr w:type="spellStart"/>
      <w:r w:rsidRPr="003E4273">
        <w:rPr>
          <w:rFonts w:ascii="Lato" w:hAnsi="Lato" w:cs="Arial"/>
          <w:color w:val="auto"/>
          <w:sz w:val="20"/>
          <w:szCs w:val="20"/>
        </w:rPr>
        <w:t>Bolomey’a</w:t>
      </w:r>
      <w:proofErr w:type="spellEnd"/>
      <w:r w:rsidRPr="003E4273">
        <w:rPr>
          <w:rFonts w:ascii="Lato" w:hAnsi="Lato" w:cs="Arial"/>
          <w:color w:val="auto"/>
          <w:sz w:val="20"/>
          <w:szCs w:val="20"/>
        </w:rPr>
        <w:t xml:space="preserve"> stosowanego do wyznaczenia wskaźnika w/c charakteryzującego mieszankę betonową należy określić doświadczalnie. Współczynnik ten wyznacza się na podstawie uzyskanych wytrzymałości betonu z mieszanek o różnych wartościach w/c (mniejszych i większych od wartości przewidywanej teoretycznie) wykonanych ze stosowanych materiałów. Dla teoretycznego ustalenia wartości wskaźnika w/c w mieszance można skorzystać z wartości parametru A podawanego w literaturze fachowej.</w:t>
      </w:r>
    </w:p>
    <w:p w14:paraId="6383CE85" w14:textId="77777777" w:rsidR="00163219" w:rsidRPr="003E4273" w:rsidRDefault="002C2B59" w:rsidP="00191A05">
      <w:pPr>
        <w:spacing w:after="0"/>
        <w:ind w:left="296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Maksymalne ilości cementu w zależności od klasy betonu są następujące:</w:t>
      </w:r>
    </w:p>
    <w:p w14:paraId="5296BF0C" w14:textId="77777777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400 kg/m</w:t>
      </w:r>
      <w:r w:rsidRPr="003E4273">
        <w:rPr>
          <w:rFonts w:ascii="Lato" w:hAnsi="Lato" w:cs="Arial"/>
          <w:color w:val="auto"/>
          <w:sz w:val="20"/>
          <w:szCs w:val="20"/>
          <w:vertAlign w:val="superscript"/>
        </w:rPr>
        <w:t>3</w:t>
      </w:r>
      <w:r w:rsidRPr="003E4273">
        <w:rPr>
          <w:rFonts w:ascii="Lato" w:hAnsi="Lato" w:cs="Arial"/>
          <w:color w:val="auto"/>
          <w:sz w:val="20"/>
          <w:szCs w:val="20"/>
        </w:rPr>
        <w:t xml:space="preserve"> – dla betonu klas B25 i B30,</w:t>
      </w:r>
    </w:p>
    <w:p w14:paraId="7C2C1D6D" w14:textId="77777777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lastRenderedPageBreak/>
        <w:t>450 kg/m</w:t>
      </w:r>
      <w:r w:rsidRPr="003E4273">
        <w:rPr>
          <w:rFonts w:ascii="Lato" w:hAnsi="Lato" w:cs="Arial"/>
          <w:color w:val="auto"/>
          <w:sz w:val="20"/>
          <w:szCs w:val="20"/>
          <w:vertAlign w:val="superscript"/>
        </w:rPr>
        <w:t>3</w:t>
      </w:r>
      <w:r w:rsidRPr="003E4273">
        <w:rPr>
          <w:rFonts w:ascii="Lato" w:hAnsi="Lato" w:cs="Arial"/>
          <w:color w:val="auto"/>
          <w:sz w:val="20"/>
          <w:szCs w:val="20"/>
        </w:rPr>
        <w:t xml:space="preserve"> – dla betonu klas B35 i wyższych.</w:t>
      </w:r>
    </w:p>
    <w:p w14:paraId="4371D848" w14:textId="77777777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 xml:space="preserve">Przy projektowaniu składu mieszanki betonowej zagęszczanej przez wibrowanie i dojrzewającej w warunkach naturalnych (średnia temperatura dobowa nie niższa niż 10°C), średnią wymaganą wytrzymałość na ściskanie należy określić jako równą 1,3 C (gdzie C – wytrzymałość charakterystyczna w </w:t>
      </w:r>
      <w:proofErr w:type="spellStart"/>
      <w:r w:rsidRPr="003E4273">
        <w:rPr>
          <w:rFonts w:ascii="Lato" w:hAnsi="Lato" w:cs="Arial"/>
          <w:color w:val="auto"/>
          <w:sz w:val="20"/>
          <w:szCs w:val="20"/>
        </w:rPr>
        <w:t>MPa</w:t>
      </w:r>
      <w:proofErr w:type="spellEnd"/>
      <w:r w:rsidRPr="003E4273">
        <w:rPr>
          <w:rFonts w:ascii="Lato" w:hAnsi="Lato" w:cs="Arial"/>
          <w:color w:val="auto"/>
          <w:sz w:val="20"/>
          <w:szCs w:val="20"/>
        </w:rPr>
        <w:t>).</w:t>
      </w:r>
    </w:p>
    <w:p w14:paraId="01831B66" w14:textId="61A5988D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Zawartość powietrza w mieszance betonowej badana metodą ciśnieniową wg normy PN-EN 206</w:t>
      </w:r>
      <w:r w:rsidR="000A7055" w:rsidRPr="003E4273">
        <w:rPr>
          <w:rFonts w:ascii="Lato" w:hAnsi="Lato" w:cs="Arial"/>
          <w:color w:val="auto"/>
          <w:sz w:val="20"/>
          <w:szCs w:val="20"/>
        </w:rPr>
        <w:t>+</w:t>
      </w:r>
      <w:bookmarkStart w:id="2" w:name="_Hlk142398887"/>
      <w:r w:rsidR="000A7055" w:rsidRPr="003E4273">
        <w:rPr>
          <w:rFonts w:ascii="Lato" w:hAnsi="Lato" w:cs="Arial"/>
          <w:color w:val="auto"/>
          <w:sz w:val="20"/>
          <w:szCs w:val="20"/>
        </w:rPr>
        <w:t>A2:2021-08</w:t>
      </w:r>
      <w:bookmarkEnd w:id="2"/>
      <w:r w:rsidRPr="003E4273">
        <w:rPr>
          <w:rFonts w:ascii="Lato" w:hAnsi="Lato" w:cs="Arial"/>
          <w:color w:val="auto"/>
          <w:sz w:val="20"/>
          <w:szCs w:val="20"/>
        </w:rPr>
        <w:t xml:space="preserve"> nie powinna przekraczać:</w:t>
      </w:r>
    </w:p>
    <w:p w14:paraId="1DBED858" w14:textId="77777777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wartości 2% – w przypadku niestosowania domieszek napowietrzających,</w:t>
      </w:r>
    </w:p>
    <w:p w14:paraId="3D7E7BF7" w14:textId="77777777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wartości 3,5÷5,5% – dla betonu narażonego na czynniki atmosferyczne, przy uziarnieniu kruszywa do 16 mm,</w:t>
      </w:r>
    </w:p>
    <w:p w14:paraId="38668976" w14:textId="77777777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wartości 4,5÷6,5% – dla betonu narażonego na stały dostęp wody przed zamarznięciem przy uziarnieniu kruszywa do 16 mm.</w:t>
      </w:r>
    </w:p>
    <w:p w14:paraId="50B4440A" w14:textId="77777777" w:rsidR="00163219" w:rsidRPr="003E4273" w:rsidRDefault="002C2B59" w:rsidP="00191A05">
      <w:pPr>
        <w:spacing w:after="0" w:line="224" w:lineRule="auto"/>
        <w:ind w:left="-15" w:right="-13" w:firstLine="286"/>
        <w:jc w:val="left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Konsystencja mieszanek betonowych powinna być nie rzadsza od plastycznej, oznaczonej w normie symbolem K-3. Sprawdzanie konsystencji mieszanki przeprowadza się podczas projektowania jej składu i następnie przy wytwarzaniu.</w:t>
      </w:r>
    </w:p>
    <w:p w14:paraId="2EA31B1C" w14:textId="7777777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Dopuszcza się dwie metody badania:</w:t>
      </w:r>
    </w:p>
    <w:p w14:paraId="4253D517" w14:textId="77777777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 xml:space="preserve">metodą </w:t>
      </w:r>
      <w:proofErr w:type="spellStart"/>
      <w:r w:rsidRPr="003E4273">
        <w:rPr>
          <w:rFonts w:ascii="Lato" w:hAnsi="Lato" w:cs="Arial"/>
          <w:color w:val="auto"/>
          <w:sz w:val="20"/>
          <w:szCs w:val="20"/>
        </w:rPr>
        <w:t>Ve</w:t>
      </w:r>
      <w:proofErr w:type="spellEnd"/>
      <w:r w:rsidRPr="003E4273">
        <w:rPr>
          <w:rFonts w:ascii="Lato" w:hAnsi="Lato" w:cs="Arial"/>
          <w:color w:val="auto"/>
          <w:sz w:val="20"/>
          <w:szCs w:val="20"/>
        </w:rPr>
        <w:t>-Be,</w:t>
      </w:r>
    </w:p>
    <w:p w14:paraId="2522BDFB" w14:textId="77777777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metodą stożka opadowego.</w:t>
      </w:r>
    </w:p>
    <w:p w14:paraId="40DF0BDE" w14:textId="3B7783ED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Różnice pomiędzy założoną konsystencją mieszanki a kontrolowaną metodami określonymi w normie PN-EN 206</w:t>
      </w:r>
      <w:r w:rsidR="000A7055" w:rsidRPr="003E4273">
        <w:rPr>
          <w:rFonts w:ascii="Lato" w:hAnsi="Lato" w:cs="Arial"/>
          <w:color w:val="auto"/>
          <w:sz w:val="20"/>
          <w:szCs w:val="20"/>
        </w:rPr>
        <w:t xml:space="preserve">+A2:2021-08 </w:t>
      </w:r>
      <w:r w:rsidRPr="003E4273">
        <w:rPr>
          <w:rFonts w:ascii="Lato" w:hAnsi="Lato" w:cs="Arial"/>
          <w:color w:val="auto"/>
          <w:sz w:val="20"/>
          <w:szCs w:val="20"/>
        </w:rPr>
        <w:t>nie mogą przekraczać:</w:t>
      </w:r>
    </w:p>
    <w:p w14:paraId="47D71AA4" w14:textId="77777777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 xml:space="preserve">±20% wartości wskaźnika </w:t>
      </w:r>
      <w:proofErr w:type="spellStart"/>
      <w:r w:rsidRPr="003E4273">
        <w:rPr>
          <w:rFonts w:ascii="Lato" w:hAnsi="Lato" w:cs="Arial"/>
          <w:color w:val="auto"/>
          <w:sz w:val="20"/>
          <w:szCs w:val="20"/>
        </w:rPr>
        <w:t>Ve</w:t>
      </w:r>
      <w:proofErr w:type="spellEnd"/>
      <w:r w:rsidRPr="003E4273">
        <w:rPr>
          <w:rFonts w:ascii="Lato" w:hAnsi="Lato" w:cs="Arial"/>
          <w:color w:val="auto"/>
          <w:sz w:val="20"/>
          <w:szCs w:val="20"/>
        </w:rPr>
        <w:t>-Be,</w:t>
      </w:r>
    </w:p>
    <w:p w14:paraId="2225DB00" w14:textId="77777777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±10 mm przy pomiarze stożkiem opadowym.</w:t>
      </w:r>
    </w:p>
    <w:p w14:paraId="214F452D" w14:textId="53A809C0" w:rsidR="00163219" w:rsidRPr="003E4273" w:rsidRDefault="002C2B59" w:rsidP="000A7055">
      <w:pPr>
        <w:spacing w:after="0"/>
        <w:ind w:left="-15" w:right="0" w:firstLine="286"/>
        <w:jc w:val="center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Pomiaru konsystencji mieszanek K1 do K3 (wg normy PN</w:t>
      </w:r>
      <w:r w:rsidR="000A7055" w:rsidRPr="003E4273">
        <w:rPr>
          <w:rFonts w:ascii="Lato" w:hAnsi="Lato" w:cs="Arial"/>
          <w:color w:val="auto"/>
          <w:sz w:val="20"/>
          <w:szCs w:val="20"/>
        </w:rPr>
        <w:t>-</w:t>
      </w:r>
      <w:r w:rsidRPr="003E4273">
        <w:rPr>
          <w:rFonts w:ascii="Lato" w:hAnsi="Lato" w:cs="Arial"/>
          <w:color w:val="auto"/>
          <w:sz w:val="20"/>
          <w:szCs w:val="20"/>
        </w:rPr>
        <w:t xml:space="preserve">) trzeba dokonać aparatem </w:t>
      </w:r>
      <w:proofErr w:type="spellStart"/>
      <w:r w:rsidRPr="003E4273">
        <w:rPr>
          <w:rFonts w:ascii="Lato" w:hAnsi="Lato" w:cs="Arial"/>
          <w:color w:val="auto"/>
          <w:sz w:val="20"/>
          <w:szCs w:val="20"/>
        </w:rPr>
        <w:t>Ve</w:t>
      </w:r>
      <w:proofErr w:type="spellEnd"/>
      <w:r w:rsidRPr="003E4273">
        <w:rPr>
          <w:rFonts w:ascii="Lato" w:hAnsi="Lato" w:cs="Arial"/>
          <w:color w:val="auto"/>
          <w:sz w:val="20"/>
          <w:szCs w:val="20"/>
        </w:rPr>
        <w:t>-Be.</w:t>
      </w:r>
    </w:p>
    <w:p w14:paraId="1C572C97" w14:textId="4E02A6BB" w:rsidR="00D23CA7" w:rsidRPr="003E4273" w:rsidRDefault="002C2B59" w:rsidP="007454C6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Dla konsystencji plastycznej K3 dopuszcza się na budowie pomiar przy pomocy stożka opadowego.</w:t>
      </w:r>
    </w:p>
    <w:p w14:paraId="56C33193" w14:textId="77777777" w:rsidR="00F84B17" w:rsidRPr="003E4273" w:rsidRDefault="00F84B17" w:rsidP="007454C6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</w:p>
    <w:p w14:paraId="7E10B4B9" w14:textId="3B6395C7" w:rsidR="00163219" w:rsidRPr="003E4273" w:rsidRDefault="002C2B59" w:rsidP="00191A05">
      <w:pPr>
        <w:tabs>
          <w:tab w:val="center" w:pos="4457"/>
        </w:tabs>
        <w:spacing w:after="0" w:line="248" w:lineRule="auto"/>
        <w:ind w:left="-15" w:right="0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3E4273">
        <w:rPr>
          <w:rFonts w:ascii="Lato" w:hAnsi="Lato" w:cs="Arial"/>
          <w:b/>
          <w:bCs/>
          <w:color w:val="auto"/>
          <w:sz w:val="20"/>
          <w:szCs w:val="20"/>
        </w:rPr>
        <w:t>2.4.</w:t>
      </w:r>
      <w:r w:rsidR="00D23CA7" w:rsidRPr="003E4273">
        <w:rPr>
          <w:rFonts w:ascii="Lato" w:hAnsi="Lato" w:cs="Arial"/>
          <w:b/>
          <w:bCs/>
          <w:color w:val="auto"/>
          <w:sz w:val="20"/>
          <w:szCs w:val="20"/>
        </w:rPr>
        <w:t xml:space="preserve"> </w:t>
      </w:r>
      <w:r w:rsidR="007454C6" w:rsidRPr="003E4273">
        <w:rPr>
          <w:rFonts w:ascii="Lato" w:hAnsi="Lato" w:cs="Arial"/>
          <w:b/>
          <w:bCs/>
          <w:color w:val="auto"/>
          <w:sz w:val="20"/>
          <w:szCs w:val="20"/>
        </w:rPr>
        <w:t xml:space="preserve"> </w:t>
      </w:r>
      <w:r w:rsidRPr="003E4273">
        <w:rPr>
          <w:rFonts w:ascii="Lato" w:hAnsi="Lato" w:cs="Arial"/>
          <w:b/>
          <w:bCs/>
          <w:color w:val="auto"/>
          <w:sz w:val="20"/>
          <w:szCs w:val="20"/>
        </w:rPr>
        <w:t>Warunki przyjęcia na budowę materiałów i wyrobów do robót betonowych</w:t>
      </w:r>
    </w:p>
    <w:p w14:paraId="61F21F5B" w14:textId="7777777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Materiały i wyroby do robót betonowych mogą być przyjęte na budowę, jeśli spełniają następujące warunki:</w:t>
      </w:r>
    </w:p>
    <w:p w14:paraId="20A9D388" w14:textId="77777777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są zgodne z ich wyszczególnieniem i charakterystyką podaną w dokumentacji projektowej i specyfikacji technicznej (szczegółowej),</w:t>
      </w:r>
    </w:p>
    <w:p w14:paraId="2E24CA58" w14:textId="77777777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są właściwie opakowane, firmowo zamknięte (bez oznak naruszenia zamknięć) i oznakowane (pełna nazwa wyrobu, ewentualnie nazwa handlowa oraz symbol handlowy wyrobu),</w:t>
      </w:r>
    </w:p>
    <w:p w14:paraId="547365D0" w14:textId="77777777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spełniają wymagane właściwości wskazane odpowiednimi dokumentami odniesienia,</w:t>
      </w:r>
    </w:p>
    <w:p w14:paraId="6A15C037" w14:textId="77777777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producent dostarczył dokumenty świadczące o dopuszczeniu do obrotu i powszechnego lub jednostkowego zastosowania wyrobów oraz karty techniczne (katalogowe) wyrobów lub firmowe wytyczne (zalecenia) stosowania wyrobów,</w:t>
      </w:r>
    </w:p>
    <w:p w14:paraId="5F7BEE26" w14:textId="77777777" w:rsidR="00163219" w:rsidRPr="003E4273" w:rsidRDefault="002C2B59" w:rsidP="00191A05">
      <w:pPr>
        <w:numPr>
          <w:ilvl w:val="0"/>
          <w:numId w:val="5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spełniają wymagania wynikające z ich terminu przydatności do użycia.</w:t>
      </w:r>
    </w:p>
    <w:p w14:paraId="4F654EFB" w14:textId="77500498" w:rsidR="00D23CA7" w:rsidRPr="003E4273" w:rsidRDefault="002C2B59" w:rsidP="007454C6">
      <w:pPr>
        <w:spacing w:after="0" w:line="248" w:lineRule="auto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Przyjęcie materiałów i wyrobów na budowę powinno być potwierdzone wpisem do dziennika budowy lub protokołem przyjęcia materiałów.</w:t>
      </w:r>
    </w:p>
    <w:p w14:paraId="3A0C4E2D" w14:textId="20B5BE3E" w:rsidR="00163219" w:rsidRPr="003E4273" w:rsidRDefault="002C2B59" w:rsidP="00191A05">
      <w:pPr>
        <w:tabs>
          <w:tab w:val="center" w:pos="4258"/>
        </w:tabs>
        <w:spacing w:after="0" w:line="248" w:lineRule="auto"/>
        <w:ind w:left="-15" w:righ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2.5.</w:t>
      </w:r>
      <w:r w:rsidR="007454C6" w:rsidRPr="003E4273">
        <w:rPr>
          <w:rFonts w:ascii="Lato" w:hAnsi="Lato" w:cs="Arial"/>
          <w:color w:val="auto"/>
          <w:sz w:val="20"/>
          <w:szCs w:val="20"/>
        </w:rPr>
        <w:t xml:space="preserve">   </w:t>
      </w:r>
      <w:r w:rsidRPr="003E4273">
        <w:rPr>
          <w:rFonts w:ascii="Lato" w:hAnsi="Lato" w:cs="Arial"/>
          <w:color w:val="auto"/>
          <w:sz w:val="20"/>
          <w:szCs w:val="20"/>
        </w:rPr>
        <w:t>Warunki przechowywania materiałów i wyrobów do robót betonowych</w:t>
      </w:r>
    </w:p>
    <w:p w14:paraId="051FDF21" w14:textId="7777777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Materiały i wyroby do robót betonowych powinny być przechowywane i magazynowane zgodnie z instrukcją producenta oraz wymaganiami odpowiednich dokumentów odniesienia tj. norm bądź aprobat technicznych.</w:t>
      </w:r>
    </w:p>
    <w:p w14:paraId="32BFB31B" w14:textId="77777777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Pomieszczenie magazynowe do przechowywania materiałów i wyrobów opakowanych powinno być kryte, suche oraz zabezpieczone przed zawilgoceniem, opadami atmosferycznymi, przemarznięciem i przed działaniem promieni słonecznych.</w:t>
      </w:r>
    </w:p>
    <w:p w14:paraId="7F46DC89" w14:textId="77777777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Wyroby konfekcjonowane powinny być przechowywane w oryginalnych, zamkniętych opakowaniach w temperaturze powyżej +5°C a poniżej +35°C. Wyroby pakowane w worki powinny być układane na paletach lub drewnianej wentylowanej podłodze, w ilości warstw nie większej niż 10.</w:t>
      </w:r>
    </w:p>
    <w:p w14:paraId="5C8769C8" w14:textId="54226593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Jeżeli nie ma możliwości poboru wody na miejscu wykonywania robót, to wodę należy przechowywać w szczelnych i czystych pojemnikach lub cysternach. Nie wolno przechowywać wody w opakowaniach po środkach chemicznych lub w takich, w których wcześniej przetrzymywano materiały mogące zmienić skład chemiczny wody.</w:t>
      </w:r>
    </w:p>
    <w:p w14:paraId="469F9982" w14:textId="77777777" w:rsidR="00D23CA7" w:rsidRPr="003E4273" w:rsidRDefault="00D23CA7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</w:p>
    <w:p w14:paraId="51F1FACB" w14:textId="77777777" w:rsidR="00163219" w:rsidRPr="003E4273" w:rsidRDefault="002C2B59" w:rsidP="00191A05">
      <w:pPr>
        <w:numPr>
          <w:ilvl w:val="0"/>
          <w:numId w:val="7"/>
        </w:numPr>
        <w:spacing w:after="0" w:line="248" w:lineRule="auto"/>
        <w:ind w:right="0" w:hanging="451"/>
        <w:rPr>
          <w:rFonts w:ascii="Lato" w:hAnsi="Lato" w:cs="Arial"/>
          <w:b/>
          <w:bCs/>
          <w:color w:val="auto"/>
          <w:sz w:val="20"/>
          <w:szCs w:val="20"/>
        </w:rPr>
      </w:pPr>
      <w:r w:rsidRPr="003E4273">
        <w:rPr>
          <w:rFonts w:ascii="Lato" w:hAnsi="Lato" w:cs="Arial"/>
          <w:b/>
          <w:bCs/>
          <w:color w:val="auto"/>
          <w:sz w:val="20"/>
          <w:szCs w:val="20"/>
        </w:rPr>
        <w:t>WYMAGANIA DOTYCZĄCE SPRZĘTU, MASZYN I NARZĘDZI</w:t>
      </w:r>
    </w:p>
    <w:p w14:paraId="4B2F0F1E" w14:textId="77777777" w:rsidR="00163219" w:rsidRPr="003E4273" w:rsidRDefault="002C2B59" w:rsidP="00D23CA7">
      <w:pPr>
        <w:numPr>
          <w:ilvl w:val="1"/>
          <w:numId w:val="7"/>
        </w:numPr>
        <w:spacing w:after="0" w:line="248" w:lineRule="auto"/>
        <w:ind w:left="567" w:right="0" w:hanging="571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Ogólne wymagania dotyczące sprzętu podano w ST „Wymagania ogólne”, Kod CPV 45000000-7, pkt 3</w:t>
      </w:r>
    </w:p>
    <w:p w14:paraId="6763D5C7" w14:textId="77777777" w:rsidR="00163219" w:rsidRPr="003E4273" w:rsidRDefault="002C2B59" w:rsidP="00D23CA7">
      <w:pPr>
        <w:numPr>
          <w:ilvl w:val="1"/>
          <w:numId w:val="7"/>
        </w:numPr>
        <w:spacing w:after="0" w:line="248" w:lineRule="auto"/>
        <w:ind w:left="567" w:right="0" w:hanging="571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Sprzęt do wykonywania robót betonowych</w:t>
      </w:r>
    </w:p>
    <w:p w14:paraId="7C0D1200" w14:textId="77777777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Wykonawca jest zobowiązany do używania takiego sprzętu i narzędzi, które nie spowodują niekorzystnego wpływu na jakość materiałów i wykonywanych robót oraz będą przyjazne dla środowiska.</w:t>
      </w:r>
    </w:p>
    <w:p w14:paraId="1C787A9F" w14:textId="77777777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Do wykonywania robót betonowych należy stosować następujący sprzęt i narzędzia pomocnicze:</w:t>
      </w:r>
    </w:p>
    <w:p w14:paraId="5504D989" w14:textId="77777777" w:rsidR="00163219" w:rsidRPr="003E4273" w:rsidRDefault="002C2B59" w:rsidP="00D23CA7">
      <w:pPr>
        <w:numPr>
          <w:ilvl w:val="2"/>
          <w:numId w:val="7"/>
        </w:numPr>
        <w:spacing w:after="0" w:line="248" w:lineRule="auto"/>
        <w:ind w:left="567" w:right="0" w:hanging="567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Dozowanie składników</w:t>
      </w:r>
    </w:p>
    <w:p w14:paraId="361A4A51" w14:textId="7777777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Dozatory muszą mieć aktualne świadectwo legalizacji. Składniki muszą być dozowane wagowo.</w:t>
      </w:r>
    </w:p>
    <w:p w14:paraId="29A1CE55" w14:textId="77777777" w:rsidR="00163219" w:rsidRPr="003E4273" w:rsidRDefault="002C2B59" w:rsidP="00D23CA7">
      <w:pPr>
        <w:numPr>
          <w:ilvl w:val="2"/>
          <w:numId w:val="7"/>
        </w:numPr>
        <w:spacing w:after="0" w:line="248" w:lineRule="auto"/>
        <w:ind w:left="709" w:right="0" w:hanging="75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Mieszanie składników</w:t>
      </w:r>
    </w:p>
    <w:p w14:paraId="3F75629A" w14:textId="7777777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 xml:space="preserve">Mieszanie składników musi odbywać się wyłącznie w betoniarkach o wymuszonym działaniu (zabrania się stosować mieszarek </w:t>
      </w:r>
      <w:proofErr w:type="spellStart"/>
      <w:r w:rsidRPr="003E4273">
        <w:rPr>
          <w:rFonts w:ascii="Lato" w:hAnsi="Lato" w:cs="Arial"/>
          <w:color w:val="auto"/>
          <w:sz w:val="20"/>
          <w:szCs w:val="20"/>
        </w:rPr>
        <w:t>wolnospadowych</w:t>
      </w:r>
      <w:proofErr w:type="spellEnd"/>
      <w:r w:rsidRPr="003E4273">
        <w:rPr>
          <w:rFonts w:ascii="Lato" w:hAnsi="Lato" w:cs="Arial"/>
          <w:color w:val="auto"/>
          <w:sz w:val="20"/>
          <w:szCs w:val="20"/>
        </w:rPr>
        <w:t>).</w:t>
      </w:r>
    </w:p>
    <w:p w14:paraId="155491FA" w14:textId="77777777" w:rsidR="00163219" w:rsidRPr="003E4273" w:rsidRDefault="002C2B59" w:rsidP="00D23CA7">
      <w:pPr>
        <w:numPr>
          <w:ilvl w:val="2"/>
          <w:numId w:val="7"/>
        </w:numPr>
        <w:spacing w:after="0" w:line="248" w:lineRule="auto"/>
        <w:ind w:left="709" w:right="0" w:hanging="734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lastRenderedPageBreak/>
        <w:t>Transport mieszanki betonowej</w:t>
      </w:r>
    </w:p>
    <w:p w14:paraId="6870EA1A" w14:textId="7777777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Do transportu zewnętrznego mieszanek betonowych należy stosować mieszalniki samochodowe (tzw. „gruszki”). Ilość „gruszek” należy dobrać tak, aby zapewnić wymaganą szybkość betonowania z uwzględnieniem odległości dowozu, czasu twardnienia betonu oraz koniecznej rezerwy w przypadku awarii samochodu. Niedozwolone jest stosowanie samochodów skrzyniowych ani wywrotek.</w:t>
      </w:r>
    </w:p>
    <w:p w14:paraId="4ED1CFD2" w14:textId="77777777" w:rsidR="00163219" w:rsidRPr="003E4273" w:rsidRDefault="002C2B59" w:rsidP="00D23CA7">
      <w:pPr>
        <w:numPr>
          <w:ilvl w:val="2"/>
          <w:numId w:val="7"/>
        </w:numPr>
        <w:spacing w:after="0" w:line="248" w:lineRule="auto"/>
        <w:ind w:left="709" w:right="0" w:hanging="709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Podawanie mieszanki</w:t>
      </w:r>
    </w:p>
    <w:p w14:paraId="621E861A" w14:textId="7777777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Do podawania mieszanek należy stosować pojemniki lub pompy do podawania mieszanek plastycznych. Dopuszcza się także przenośniki taśmowe jednosekcyjne do podawania mieszanki na odległość nie większą niż 10 m.</w:t>
      </w:r>
    </w:p>
    <w:p w14:paraId="480B72FB" w14:textId="77777777" w:rsidR="00163219" w:rsidRPr="003E4273" w:rsidRDefault="002C2B59" w:rsidP="00D23CA7">
      <w:pPr>
        <w:numPr>
          <w:ilvl w:val="2"/>
          <w:numId w:val="7"/>
        </w:numPr>
        <w:spacing w:after="0" w:line="248" w:lineRule="auto"/>
        <w:ind w:left="709" w:right="0" w:hanging="709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Zagęszczanie</w:t>
      </w:r>
    </w:p>
    <w:p w14:paraId="7A46D15C" w14:textId="7777777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Do zagęszczania mieszanki betonowej stosować wibratory wgłębne o częstotliwości min. 6000 drgań/min. z buławami o średnicy nie większej od 0,65 odległości między prętami zbrojenia krzyżującymi się w płaszczyźnie poziomej.</w:t>
      </w:r>
    </w:p>
    <w:p w14:paraId="09DAAFE2" w14:textId="3786C8B3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Belki i łaty wibracyjne stosowane do wyrównywania powierzchni betonu powinny charakteryzować się jednakowymi drganiami na całej długości.</w:t>
      </w:r>
    </w:p>
    <w:p w14:paraId="48CE3C97" w14:textId="77777777" w:rsidR="007454C6" w:rsidRPr="003E4273" w:rsidRDefault="007454C6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</w:p>
    <w:p w14:paraId="259A3583" w14:textId="77777777" w:rsidR="00163219" w:rsidRPr="003E4273" w:rsidRDefault="002C2B59" w:rsidP="00191A05">
      <w:pPr>
        <w:numPr>
          <w:ilvl w:val="0"/>
          <w:numId w:val="7"/>
        </w:numPr>
        <w:spacing w:after="0" w:line="248" w:lineRule="auto"/>
        <w:ind w:right="0" w:hanging="451"/>
        <w:rPr>
          <w:rFonts w:ascii="Lato" w:hAnsi="Lato" w:cs="Arial"/>
          <w:b/>
          <w:bCs/>
          <w:color w:val="auto"/>
          <w:sz w:val="20"/>
          <w:szCs w:val="20"/>
        </w:rPr>
      </w:pPr>
      <w:r w:rsidRPr="003E4273">
        <w:rPr>
          <w:rFonts w:ascii="Lato" w:hAnsi="Lato" w:cs="Arial"/>
          <w:b/>
          <w:bCs/>
          <w:color w:val="auto"/>
          <w:sz w:val="20"/>
          <w:szCs w:val="20"/>
        </w:rPr>
        <w:t>WYMAGANIA DOTYCZĄCE TRANSPORTU</w:t>
      </w:r>
    </w:p>
    <w:p w14:paraId="2803B636" w14:textId="77777777" w:rsidR="00163219" w:rsidRPr="003E4273" w:rsidRDefault="002C2B59" w:rsidP="007454C6">
      <w:pPr>
        <w:numPr>
          <w:ilvl w:val="1"/>
          <w:numId w:val="7"/>
        </w:numPr>
        <w:spacing w:after="0" w:line="248" w:lineRule="auto"/>
        <w:ind w:left="567" w:right="0" w:hanging="571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Ogólne wymagania dotyczące transportu podano w ST „Wymagania ogólne”, Kod CPV 45000000-7, pkt 4</w:t>
      </w:r>
    </w:p>
    <w:p w14:paraId="3172045E" w14:textId="701EAD0A" w:rsidR="00163219" w:rsidRPr="003E4273" w:rsidRDefault="002C2B59" w:rsidP="007454C6">
      <w:pPr>
        <w:numPr>
          <w:ilvl w:val="1"/>
          <w:numId w:val="7"/>
        </w:numPr>
        <w:spacing w:after="0" w:line="248" w:lineRule="auto"/>
        <w:ind w:left="567" w:right="0" w:hanging="571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Transport cementu i przechowywanie cementu – wg PN-EN 197-1:20</w:t>
      </w:r>
      <w:r w:rsidR="00ED7C61" w:rsidRPr="003E4273">
        <w:rPr>
          <w:rFonts w:ascii="Lato" w:hAnsi="Lato" w:cs="Arial"/>
          <w:color w:val="auto"/>
          <w:sz w:val="20"/>
          <w:szCs w:val="20"/>
        </w:rPr>
        <w:t>1</w:t>
      </w:r>
      <w:r w:rsidRPr="003E4273">
        <w:rPr>
          <w:rFonts w:ascii="Lato" w:hAnsi="Lato" w:cs="Arial"/>
          <w:color w:val="auto"/>
          <w:sz w:val="20"/>
          <w:szCs w:val="20"/>
        </w:rPr>
        <w:t>2</w:t>
      </w:r>
    </w:p>
    <w:p w14:paraId="7E1E6050" w14:textId="54BE36A5" w:rsidR="00163219" w:rsidRPr="003E4273" w:rsidRDefault="002C2B59" w:rsidP="00191A05">
      <w:pPr>
        <w:numPr>
          <w:ilvl w:val="3"/>
          <w:numId w:val="8"/>
        </w:numPr>
        <w:spacing w:after="0"/>
        <w:ind w:right="0" w:hanging="36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Cement wysyłany w opakowaniu powinien być pakowany w worki papierowe WK co najmniej trzywarstwowe wg PN-EN 197-1:20</w:t>
      </w:r>
      <w:r w:rsidR="00ED7C61" w:rsidRPr="003E4273">
        <w:rPr>
          <w:rFonts w:ascii="Lato" w:hAnsi="Lato" w:cs="Arial"/>
          <w:color w:val="auto"/>
          <w:sz w:val="20"/>
          <w:szCs w:val="20"/>
        </w:rPr>
        <w:t>1</w:t>
      </w:r>
      <w:r w:rsidRPr="003E4273">
        <w:rPr>
          <w:rFonts w:ascii="Lato" w:hAnsi="Lato" w:cs="Arial"/>
          <w:color w:val="auto"/>
          <w:sz w:val="20"/>
          <w:szCs w:val="20"/>
        </w:rPr>
        <w:t>2.</w:t>
      </w:r>
    </w:p>
    <w:p w14:paraId="6E61D8EB" w14:textId="5109C717" w:rsidR="00163219" w:rsidRPr="003E4273" w:rsidRDefault="002C2B59" w:rsidP="00191A05">
      <w:pPr>
        <w:numPr>
          <w:ilvl w:val="3"/>
          <w:numId w:val="8"/>
        </w:numPr>
        <w:spacing w:after="0"/>
        <w:ind w:right="0" w:hanging="36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Masa worka z cementem powinna wynosić 50±2 kg. Kolory rozpoznawcze worków oraz napisy na workach powinny być zgodne z PN-EN 197-1:20</w:t>
      </w:r>
      <w:r w:rsidR="00ED7C61" w:rsidRPr="003E4273">
        <w:rPr>
          <w:rFonts w:ascii="Lato" w:hAnsi="Lato" w:cs="Arial"/>
          <w:color w:val="auto"/>
          <w:sz w:val="20"/>
          <w:szCs w:val="20"/>
        </w:rPr>
        <w:t>1</w:t>
      </w:r>
      <w:r w:rsidRPr="003E4273">
        <w:rPr>
          <w:rFonts w:ascii="Lato" w:hAnsi="Lato" w:cs="Arial"/>
          <w:color w:val="auto"/>
          <w:sz w:val="20"/>
          <w:szCs w:val="20"/>
        </w:rPr>
        <w:t>2.</w:t>
      </w:r>
    </w:p>
    <w:p w14:paraId="3ACB92F4" w14:textId="2C6A5024" w:rsidR="00163219" w:rsidRPr="003E4273" w:rsidRDefault="002C2B59" w:rsidP="00191A05">
      <w:pPr>
        <w:numPr>
          <w:ilvl w:val="3"/>
          <w:numId w:val="8"/>
        </w:numPr>
        <w:spacing w:after="0"/>
        <w:ind w:right="0" w:hanging="36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Dla cementu luzem należy stosować cementowagony i cementosamochody wyposażone we wsypy umożliwiające grawitacyjne napełnianie zbiorników i urządzenie do ładowania i wyładowania cementu. Cement wysyłany luzem powinien mieć identyfikator zawierający dane zgodnie z PN-EN 197-1:20</w:t>
      </w:r>
      <w:r w:rsidR="00ED7C61" w:rsidRPr="003E4273">
        <w:rPr>
          <w:rFonts w:ascii="Lato" w:hAnsi="Lato" w:cs="Arial"/>
          <w:color w:val="auto"/>
          <w:sz w:val="20"/>
          <w:szCs w:val="20"/>
        </w:rPr>
        <w:t>1</w:t>
      </w:r>
      <w:r w:rsidRPr="003E4273">
        <w:rPr>
          <w:rFonts w:ascii="Lato" w:hAnsi="Lato" w:cs="Arial"/>
          <w:color w:val="auto"/>
          <w:sz w:val="20"/>
          <w:szCs w:val="20"/>
        </w:rPr>
        <w:t>2.</w:t>
      </w:r>
    </w:p>
    <w:p w14:paraId="2ED15D8E" w14:textId="76D17D50" w:rsidR="00163219" w:rsidRPr="003E4273" w:rsidRDefault="002C2B59" w:rsidP="00191A05">
      <w:pPr>
        <w:numPr>
          <w:ilvl w:val="3"/>
          <w:numId w:val="8"/>
        </w:numPr>
        <w:spacing w:after="0"/>
        <w:ind w:right="0" w:hanging="36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Do każdej partii dostarczanego cementu powinien być dołączony dokument dostawy zawierający dane oraz sygnaturę odbiorczą kontroli jakości wg PN-</w:t>
      </w:r>
      <w:r w:rsidR="00ED7C61" w:rsidRPr="003E4273">
        <w:rPr>
          <w:rFonts w:ascii="Lato" w:hAnsi="Lato" w:cs="Arial"/>
          <w:color w:val="auto"/>
          <w:sz w:val="20"/>
          <w:szCs w:val="20"/>
        </w:rPr>
        <w:t>EN</w:t>
      </w:r>
      <w:r w:rsidRPr="003E4273">
        <w:rPr>
          <w:rFonts w:ascii="Lato" w:hAnsi="Lato" w:cs="Arial"/>
          <w:color w:val="auto"/>
          <w:sz w:val="20"/>
          <w:szCs w:val="20"/>
        </w:rPr>
        <w:t>-197-1:20</w:t>
      </w:r>
      <w:r w:rsidR="00ED7C61" w:rsidRPr="003E4273">
        <w:rPr>
          <w:rFonts w:ascii="Lato" w:hAnsi="Lato" w:cs="Arial"/>
          <w:color w:val="auto"/>
          <w:sz w:val="20"/>
          <w:szCs w:val="20"/>
        </w:rPr>
        <w:t>1</w:t>
      </w:r>
      <w:r w:rsidRPr="003E4273">
        <w:rPr>
          <w:rFonts w:ascii="Lato" w:hAnsi="Lato" w:cs="Arial"/>
          <w:color w:val="auto"/>
          <w:sz w:val="20"/>
          <w:szCs w:val="20"/>
        </w:rPr>
        <w:t>2.</w:t>
      </w:r>
    </w:p>
    <w:p w14:paraId="4E5193B0" w14:textId="77777777" w:rsidR="00F84B17" w:rsidRPr="003E4273" w:rsidRDefault="00F84B17" w:rsidP="00F84B17">
      <w:pPr>
        <w:spacing w:after="0"/>
        <w:ind w:left="720" w:right="0" w:firstLine="0"/>
        <w:rPr>
          <w:rFonts w:ascii="Lato" w:hAnsi="Lato" w:cs="Arial"/>
          <w:color w:val="auto"/>
          <w:sz w:val="20"/>
          <w:szCs w:val="20"/>
        </w:rPr>
      </w:pPr>
    </w:p>
    <w:p w14:paraId="30FECBEE" w14:textId="77777777" w:rsidR="00163219" w:rsidRPr="003E4273" w:rsidRDefault="002C2B59" w:rsidP="007454C6">
      <w:pPr>
        <w:numPr>
          <w:ilvl w:val="1"/>
          <w:numId w:val="7"/>
        </w:numPr>
        <w:spacing w:after="0" w:line="248" w:lineRule="auto"/>
        <w:ind w:left="567" w:right="0" w:hanging="571"/>
        <w:rPr>
          <w:rFonts w:ascii="Lato" w:hAnsi="Lato" w:cs="Arial"/>
          <w:b/>
          <w:bCs/>
          <w:color w:val="auto"/>
          <w:sz w:val="20"/>
          <w:szCs w:val="20"/>
        </w:rPr>
      </w:pPr>
      <w:r w:rsidRPr="003E4273">
        <w:rPr>
          <w:rFonts w:ascii="Lato" w:hAnsi="Lato" w:cs="Arial"/>
          <w:b/>
          <w:bCs/>
          <w:color w:val="auto"/>
          <w:sz w:val="20"/>
          <w:szCs w:val="20"/>
        </w:rPr>
        <w:t>Magazynowanie kruszywa</w:t>
      </w:r>
    </w:p>
    <w:p w14:paraId="39E23DE8" w14:textId="2A9BAC64" w:rsidR="00163219" w:rsidRPr="003E4273" w:rsidRDefault="002C2B59" w:rsidP="00191A05">
      <w:pPr>
        <w:spacing w:after="0" w:line="224" w:lineRule="auto"/>
        <w:ind w:left="-5" w:right="-13"/>
        <w:jc w:val="left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 xml:space="preserve">Kruszywo należy przechowywać na dobrze zagęszczonym i odwodnionym podłożu w warunkach zabezpieczających je przed </w:t>
      </w:r>
      <w:proofErr w:type="spellStart"/>
      <w:r w:rsidRPr="003E4273">
        <w:rPr>
          <w:rFonts w:ascii="Lato" w:hAnsi="Lato" w:cs="Arial"/>
          <w:color w:val="auto"/>
          <w:sz w:val="20"/>
          <w:szCs w:val="20"/>
        </w:rPr>
        <w:t>rozfrakcjowaniem</w:t>
      </w:r>
      <w:proofErr w:type="spellEnd"/>
      <w:r w:rsidRPr="003E4273">
        <w:rPr>
          <w:rFonts w:ascii="Lato" w:hAnsi="Lato" w:cs="Arial"/>
          <w:color w:val="auto"/>
          <w:sz w:val="20"/>
          <w:szCs w:val="20"/>
        </w:rPr>
        <w:t>, zanieczyszczeniem oraz zmieszaniem z kruszywem innych klas petrograficznych, asortymentów, marek i gatunków.</w:t>
      </w:r>
    </w:p>
    <w:p w14:paraId="31314FEC" w14:textId="77777777" w:rsidR="00F84B17" w:rsidRPr="003E4273" w:rsidRDefault="00F84B17" w:rsidP="00191A05">
      <w:pPr>
        <w:spacing w:after="0" w:line="224" w:lineRule="auto"/>
        <w:ind w:left="-5" w:right="-13"/>
        <w:jc w:val="left"/>
        <w:rPr>
          <w:rFonts w:ascii="Lato" w:hAnsi="Lato" w:cs="Arial"/>
          <w:color w:val="auto"/>
          <w:sz w:val="20"/>
          <w:szCs w:val="20"/>
        </w:rPr>
      </w:pPr>
    </w:p>
    <w:p w14:paraId="376DBBF5" w14:textId="77777777" w:rsidR="00163219" w:rsidRPr="003E4273" w:rsidRDefault="002C2B59" w:rsidP="007454C6">
      <w:pPr>
        <w:numPr>
          <w:ilvl w:val="1"/>
          <w:numId w:val="7"/>
        </w:numPr>
        <w:spacing w:after="0" w:line="248" w:lineRule="auto"/>
        <w:ind w:left="567" w:right="0" w:hanging="571"/>
        <w:rPr>
          <w:rFonts w:ascii="Lato" w:hAnsi="Lato" w:cs="Arial"/>
          <w:b/>
          <w:bCs/>
          <w:color w:val="auto"/>
          <w:sz w:val="20"/>
          <w:szCs w:val="20"/>
        </w:rPr>
      </w:pPr>
      <w:r w:rsidRPr="003E4273">
        <w:rPr>
          <w:rFonts w:ascii="Lato" w:hAnsi="Lato" w:cs="Arial"/>
          <w:b/>
          <w:bCs/>
          <w:color w:val="auto"/>
          <w:sz w:val="20"/>
          <w:szCs w:val="20"/>
        </w:rPr>
        <w:t>Ogólne zasady transportu masy betonowej</w:t>
      </w:r>
    </w:p>
    <w:p w14:paraId="07D07535" w14:textId="7777777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Masę betonową należy transportować środkami nie powodującymi segregacji ani zmian w składzie masy w stosunku do stanu początkowego.</w:t>
      </w:r>
    </w:p>
    <w:p w14:paraId="632D2581" w14:textId="77777777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Masę betonową można transportować mieszalnikami samochodowymi („gruszkami”). Ilość gruszek należy dobrać tak, aby zapewnić wymaganą szybkość betonowania z uwzględnieniem odległości dowozu, czasu twardnienia betonu oraz koniecznej rezerwy w przypadku awarii samochodu. Niedozwolone jest stosowanie samochodów skrzyniowych ani wywrotek.</w:t>
      </w:r>
    </w:p>
    <w:p w14:paraId="5604A8FE" w14:textId="77777777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Czas trwania transportu i jego organizacja powinny zapewniać dostarczenie do miejsca, układania masy betonowej o takim stopniu ciekłości, jaki został ustalony dla danego sposobu zagęszczenia i rodzaju konstrukcji.</w:t>
      </w:r>
    </w:p>
    <w:p w14:paraId="0BD3FE08" w14:textId="7777777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Czas transportu i wbudowania mieszanki nie powinien być dłuższy niż:</w:t>
      </w:r>
    </w:p>
    <w:p w14:paraId="5EC51FA5" w14:textId="77777777" w:rsidR="00163219" w:rsidRPr="003E4273" w:rsidRDefault="002C2B59" w:rsidP="00191A05">
      <w:pPr>
        <w:numPr>
          <w:ilvl w:val="0"/>
          <w:numId w:val="9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90 minut przy temperaturze otoczenia +15°C</w:t>
      </w:r>
    </w:p>
    <w:p w14:paraId="4B5BD342" w14:textId="77777777" w:rsidR="00163219" w:rsidRPr="003E4273" w:rsidRDefault="002C2B59" w:rsidP="00191A05">
      <w:pPr>
        <w:numPr>
          <w:ilvl w:val="0"/>
          <w:numId w:val="9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70 minut przy temperaturze otoczenia +20°C</w:t>
      </w:r>
    </w:p>
    <w:p w14:paraId="1CC46E69" w14:textId="4BD3D12C" w:rsidR="00163219" w:rsidRPr="003E4273" w:rsidRDefault="002C2B59" w:rsidP="00191A05">
      <w:pPr>
        <w:numPr>
          <w:ilvl w:val="0"/>
          <w:numId w:val="9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30 minut przy temperaturze otoczenia +30°C</w:t>
      </w:r>
    </w:p>
    <w:p w14:paraId="180C66EB" w14:textId="77777777" w:rsidR="00F84B17" w:rsidRPr="003E4273" w:rsidRDefault="00F84B17" w:rsidP="00F84B17">
      <w:pPr>
        <w:spacing w:after="0"/>
        <w:ind w:left="420" w:right="0" w:firstLine="0"/>
        <w:rPr>
          <w:rFonts w:ascii="Lato" w:hAnsi="Lato" w:cs="Arial"/>
          <w:color w:val="auto"/>
          <w:sz w:val="20"/>
          <w:szCs w:val="20"/>
        </w:rPr>
      </w:pPr>
    </w:p>
    <w:p w14:paraId="36CC670B" w14:textId="74DBF62E" w:rsidR="00163219" w:rsidRPr="003E4273" w:rsidRDefault="002C2B59" w:rsidP="00191A05">
      <w:pPr>
        <w:tabs>
          <w:tab w:val="center" w:pos="3412"/>
        </w:tabs>
        <w:spacing w:after="0" w:line="248" w:lineRule="auto"/>
        <w:ind w:left="-15" w:righ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b/>
          <w:bCs/>
          <w:color w:val="auto"/>
          <w:sz w:val="20"/>
          <w:szCs w:val="20"/>
        </w:rPr>
        <w:t>4.5.</w:t>
      </w:r>
      <w:r w:rsidR="007454C6" w:rsidRPr="003E4273">
        <w:rPr>
          <w:rFonts w:ascii="Lato" w:hAnsi="Lato" w:cs="Arial"/>
          <w:color w:val="auto"/>
          <w:sz w:val="20"/>
          <w:szCs w:val="20"/>
        </w:rPr>
        <w:t xml:space="preserve">  </w:t>
      </w:r>
      <w:r w:rsidRPr="003E4273">
        <w:rPr>
          <w:rFonts w:ascii="Lato" w:hAnsi="Lato" w:cs="Arial"/>
          <w:b/>
          <w:bCs/>
          <w:color w:val="auto"/>
          <w:sz w:val="20"/>
          <w:szCs w:val="20"/>
        </w:rPr>
        <w:t>Transport masy betonowej przenośnikami taśmowymi</w:t>
      </w:r>
    </w:p>
    <w:p w14:paraId="5A99F3FA" w14:textId="7777777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Dopuszcza się transportowanie przenośnikami taśmowymi przy zachowaniu następujących warunków:</w:t>
      </w:r>
    </w:p>
    <w:p w14:paraId="5F3195A2" w14:textId="77777777" w:rsidR="00163219" w:rsidRPr="003E4273" w:rsidRDefault="002C2B59" w:rsidP="00191A05">
      <w:pPr>
        <w:numPr>
          <w:ilvl w:val="0"/>
          <w:numId w:val="9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masa betonowa powinna być co najmniej konsystencji plastycznej,</w:t>
      </w:r>
    </w:p>
    <w:p w14:paraId="0C466390" w14:textId="77777777" w:rsidR="00163219" w:rsidRPr="003E4273" w:rsidRDefault="002C2B59" w:rsidP="00191A05">
      <w:pPr>
        <w:numPr>
          <w:ilvl w:val="0"/>
          <w:numId w:val="9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szybkość posuwu taśmy nie powinna być większa niż 1 m/s,</w:t>
      </w:r>
    </w:p>
    <w:p w14:paraId="03663A85" w14:textId="77777777" w:rsidR="00163219" w:rsidRPr="003E4273" w:rsidRDefault="002C2B59" w:rsidP="00191A05">
      <w:pPr>
        <w:numPr>
          <w:ilvl w:val="0"/>
          <w:numId w:val="9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kąt pochylenia przenośnika nie powinien być większy niż 18° przy transporcie do góry i 12° przy transporcie w dół,</w:t>
      </w:r>
    </w:p>
    <w:p w14:paraId="03DFC46E" w14:textId="35802D2F" w:rsidR="00163219" w:rsidRPr="003E4273" w:rsidRDefault="002C2B59" w:rsidP="00191A05">
      <w:pPr>
        <w:numPr>
          <w:ilvl w:val="0"/>
          <w:numId w:val="9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przenośnik powinien być wyposażony w urządzenie do równomiernego wysypywania masy oraz do zgarniania zaprawy i zaczynu z taśmy przy jej ruchu powrotnym przy czym zgarnięty materiał powinien być stopniowo wprowadzony do dostarczanej masy betonowej.</w:t>
      </w:r>
    </w:p>
    <w:p w14:paraId="11524243" w14:textId="77777777" w:rsidR="007454C6" w:rsidRPr="003E4273" w:rsidRDefault="007454C6" w:rsidP="007454C6">
      <w:pPr>
        <w:spacing w:after="0"/>
        <w:ind w:left="420" w:right="0" w:firstLine="0"/>
        <w:rPr>
          <w:rFonts w:ascii="Lato" w:hAnsi="Lato" w:cs="Arial"/>
          <w:color w:val="auto"/>
          <w:sz w:val="20"/>
          <w:szCs w:val="20"/>
        </w:rPr>
      </w:pPr>
    </w:p>
    <w:p w14:paraId="3A7F67B5" w14:textId="2ED5085C" w:rsidR="00163219" w:rsidRPr="003E4273" w:rsidRDefault="002C2B59" w:rsidP="00191A05">
      <w:pPr>
        <w:numPr>
          <w:ilvl w:val="0"/>
          <w:numId w:val="10"/>
        </w:numPr>
        <w:spacing w:after="0" w:line="248" w:lineRule="auto"/>
        <w:ind w:right="0" w:hanging="451"/>
        <w:rPr>
          <w:rFonts w:ascii="Lato" w:hAnsi="Lato" w:cs="Arial"/>
          <w:b/>
          <w:bCs/>
          <w:color w:val="auto"/>
          <w:sz w:val="20"/>
          <w:szCs w:val="20"/>
        </w:rPr>
      </w:pPr>
      <w:r w:rsidRPr="003E4273">
        <w:rPr>
          <w:rFonts w:ascii="Lato" w:hAnsi="Lato" w:cs="Arial"/>
          <w:b/>
          <w:bCs/>
          <w:color w:val="auto"/>
          <w:sz w:val="20"/>
          <w:szCs w:val="20"/>
        </w:rPr>
        <w:t>WYMAGANIA DOTYCZĄCE WYKONANIA ROBÓT</w:t>
      </w:r>
    </w:p>
    <w:p w14:paraId="3DAE73BC" w14:textId="77777777" w:rsidR="00F84B17" w:rsidRPr="003E4273" w:rsidRDefault="00F84B17" w:rsidP="00F84B17">
      <w:pPr>
        <w:spacing w:after="0" w:line="248" w:lineRule="auto"/>
        <w:ind w:left="451" w:right="0" w:firstLine="0"/>
        <w:rPr>
          <w:rFonts w:ascii="Lato" w:hAnsi="Lato" w:cs="Arial"/>
          <w:b/>
          <w:bCs/>
          <w:color w:val="auto"/>
          <w:sz w:val="20"/>
          <w:szCs w:val="20"/>
        </w:rPr>
      </w:pPr>
    </w:p>
    <w:p w14:paraId="44BA69FD" w14:textId="77777777" w:rsidR="00163219" w:rsidRPr="003E4273" w:rsidRDefault="002C2B59" w:rsidP="007454C6">
      <w:pPr>
        <w:numPr>
          <w:ilvl w:val="1"/>
          <w:numId w:val="10"/>
        </w:numPr>
        <w:spacing w:after="0" w:line="248" w:lineRule="auto"/>
        <w:ind w:left="567" w:right="0" w:hanging="571"/>
        <w:rPr>
          <w:rFonts w:ascii="Lato" w:hAnsi="Lato" w:cs="Arial"/>
          <w:b/>
          <w:bCs/>
          <w:color w:val="auto"/>
          <w:sz w:val="20"/>
          <w:szCs w:val="20"/>
        </w:rPr>
      </w:pPr>
      <w:r w:rsidRPr="003E4273">
        <w:rPr>
          <w:rFonts w:ascii="Lato" w:hAnsi="Lato" w:cs="Arial"/>
          <w:b/>
          <w:bCs/>
          <w:color w:val="auto"/>
          <w:sz w:val="20"/>
          <w:szCs w:val="20"/>
        </w:rPr>
        <w:lastRenderedPageBreak/>
        <w:t xml:space="preserve">Ogólne zasady wykonania robót </w:t>
      </w:r>
    </w:p>
    <w:p w14:paraId="3E80E394" w14:textId="689AC39E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 xml:space="preserve">Ogólne zasady wykonywania robót podano w ST „Wymagania ogólne”, Kod CPV 45000000-7, pkt 5. Wykonawca przedstawi Inspektorowi nadzoru do akceptacji projekt organizacji i harmonogram robót uwzględniające wszystkie warunki, w jakich będą wykonywane roboty betonowe oraz projekty </w:t>
      </w:r>
      <w:proofErr w:type="spellStart"/>
      <w:r w:rsidRPr="003E4273">
        <w:rPr>
          <w:rFonts w:ascii="Lato" w:hAnsi="Lato" w:cs="Arial"/>
          <w:color w:val="auto"/>
          <w:sz w:val="20"/>
          <w:szCs w:val="20"/>
        </w:rPr>
        <w:t>deskowań</w:t>
      </w:r>
      <w:proofErr w:type="spellEnd"/>
      <w:r w:rsidRPr="003E4273">
        <w:rPr>
          <w:rFonts w:ascii="Lato" w:hAnsi="Lato" w:cs="Arial"/>
          <w:color w:val="auto"/>
          <w:sz w:val="20"/>
          <w:szCs w:val="20"/>
        </w:rPr>
        <w:t xml:space="preserve"> i rusztowań.</w:t>
      </w:r>
    </w:p>
    <w:p w14:paraId="144F79D0" w14:textId="77777777" w:rsidR="00F84B17" w:rsidRPr="003E4273" w:rsidRDefault="00F84B17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</w:p>
    <w:p w14:paraId="71A78858" w14:textId="77777777" w:rsidR="00163219" w:rsidRPr="003E4273" w:rsidRDefault="002C2B59" w:rsidP="007454C6">
      <w:pPr>
        <w:numPr>
          <w:ilvl w:val="1"/>
          <w:numId w:val="10"/>
        </w:numPr>
        <w:spacing w:after="0" w:line="248" w:lineRule="auto"/>
        <w:ind w:left="567" w:right="0" w:hanging="571"/>
        <w:rPr>
          <w:rFonts w:ascii="Lato" w:hAnsi="Lato" w:cs="Arial"/>
          <w:b/>
          <w:bCs/>
          <w:color w:val="auto"/>
          <w:sz w:val="20"/>
          <w:szCs w:val="20"/>
        </w:rPr>
      </w:pPr>
      <w:r w:rsidRPr="003E4273">
        <w:rPr>
          <w:rFonts w:ascii="Lato" w:hAnsi="Lato" w:cs="Arial"/>
          <w:b/>
          <w:bCs/>
          <w:color w:val="auto"/>
          <w:sz w:val="20"/>
          <w:szCs w:val="20"/>
        </w:rPr>
        <w:t>Warunki przystąpienia do robót betonowych</w:t>
      </w:r>
    </w:p>
    <w:p w14:paraId="4326812B" w14:textId="7777777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Rozpoczęcie robót betoniarskich może nastąpić na podstawie dostarczonego przez Wykonawcę szczegółowego programu i dokumentacji technologicznej (zaakceptowanej przez Inspektora nadzoru) obejmującej:</w:t>
      </w:r>
    </w:p>
    <w:p w14:paraId="3736295C" w14:textId="77777777" w:rsidR="00163219" w:rsidRPr="003E4273" w:rsidRDefault="002C2B59" w:rsidP="00191A05">
      <w:pPr>
        <w:numPr>
          <w:ilvl w:val="0"/>
          <w:numId w:val="11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wybór składników betonu,</w:t>
      </w:r>
    </w:p>
    <w:p w14:paraId="33DD86FD" w14:textId="77777777" w:rsidR="00163219" w:rsidRPr="003E4273" w:rsidRDefault="002C2B59" w:rsidP="00191A05">
      <w:pPr>
        <w:numPr>
          <w:ilvl w:val="0"/>
          <w:numId w:val="11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opracowanie receptur laboratoryjnych i roboczych,</w:t>
      </w:r>
    </w:p>
    <w:p w14:paraId="54906636" w14:textId="77777777" w:rsidR="00163219" w:rsidRPr="003E4273" w:rsidRDefault="002C2B59" w:rsidP="00191A05">
      <w:pPr>
        <w:numPr>
          <w:ilvl w:val="0"/>
          <w:numId w:val="11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sposób wytwarzania mieszanki betonowej,</w:t>
      </w:r>
    </w:p>
    <w:p w14:paraId="42ADF857" w14:textId="77777777" w:rsidR="00163219" w:rsidRPr="003E4273" w:rsidRDefault="002C2B59" w:rsidP="00191A05">
      <w:pPr>
        <w:numPr>
          <w:ilvl w:val="0"/>
          <w:numId w:val="11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sposób transportu mieszanki betonowej,</w:t>
      </w:r>
    </w:p>
    <w:p w14:paraId="271CE977" w14:textId="77777777" w:rsidR="00163219" w:rsidRPr="003E4273" w:rsidRDefault="002C2B59" w:rsidP="00191A05">
      <w:pPr>
        <w:numPr>
          <w:ilvl w:val="0"/>
          <w:numId w:val="11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kolejność i sposób betonowania,</w:t>
      </w:r>
    </w:p>
    <w:p w14:paraId="1B353520" w14:textId="77777777" w:rsidR="00163219" w:rsidRPr="003E4273" w:rsidRDefault="002C2B59" w:rsidP="00191A05">
      <w:pPr>
        <w:numPr>
          <w:ilvl w:val="0"/>
          <w:numId w:val="11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wskazanie przerw roboczych i sposobu łączenia betonu w tych przerwach,</w:t>
      </w:r>
    </w:p>
    <w:p w14:paraId="6343DD9F" w14:textId="77777777" w:rsidR="00163219" w:rsidRPr="003E4273" w:rsidRDefault="002C2B59" w:rsidP="00191A05">
      <w:pPr>
        <w:numPr>
          <w:ilvl w:val="0"/>
          <w:numId w:val="11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sposób pielęgnacji betonu,</w:t>
      </w:r>
    </w:p>
    <w:p w14:paraId="3D9A042A" w14:textId="77777777" w:rsidR="00163219" w:rsidRPr="003E4273" w:rsidRDefault="002C2B59" w:rsidP="00191A05">
      <w:pPr>
        <w:numPr>
          <w:ilvl w:val="0"/>
          <w:numId w:val="11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warunki rozformowania konstrukcji (deskowania), –</w:t>
      </w:r>
      <w:r w:rsidRPr="003E4273">
        <w:rPr>
          <w:rFonts w:ascii="Lato" w:hAnsi="Lato" w:cs="Arial"/>
          <w:color w:val="auto"/>
          <w:sz w:val="20"/>
          <w:szCs w:val="20"/>
        </w:rPr>
        <w:tab/>
        <w:t>zestawienie koniecznych badań.</w:t>
      </w:r>
    </w:p>
    <w:p w14:paraId="589E8C35" w14:textId="77777777" w:rsidR="00163219" w:rsidRPr="003E4273" w:rsidRDefault="002C2B59" w:rsidP="00191A05">
      <w:pPr>
        <w:spacing w:after="0" w:line="248" w:lineRule="auto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Przed przystąpieniem do betonowania powinna być stwierdzona przez Inspektora nadzoru prawidłowość wykonania wszystkich robót poprzedzających betonowanie, a w szczególności:</w:t>
      </w:r>
    </w:p>
    <w:p w14:paraId="5575BBFF" w14:textId="77777777" w:rsidR="00163219" w:rsidRPr="003E4273" w:rsidRDefault="002C2B59" w:rsidP="00191A05">
      <w:pPr>
        <w:numPr>
          <w:ilvl w:val="0"/>
          <w:numId w:val="11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 xml:space="preserve">prawidłowość wykonania </w:t>
      </w:r>
      <w:proofErr w:type="spellStart"/>
      <w:r w:rsidRPr="003E4273">
        <w:rPr>
          <w:rFonts w:ascii="Lato" w:hAnsi="Lato" w:cs="Arial"/>
          <w:color w:val="auto"/>
          <w:sz w:val="20"/>
          <w:szCs w:val="20"/>
        </w:rPr>
        <w:t>deskowań</w:t>
      </w:r>
      <w:proofErr w:type="spellEnd"/>
      <w:r w:rsidRPr="003E4273">
        <w:rPr>
          <w:rFonts w:ascii="Lato" w:hAnsi="Lato" w:cs="Arial"/>
          <w:color w:val="auto"/>
          <w:sz w:val="20"/>
          <w:szCs w:val="20"/>
        </w:rPr>
        <w:t>, rusztowań, usztywnień pomostów itp.,</w:t>
      </w:r>
    </w:p>
    <w:p w14:paraId="20BA1150" w14:textId="77777777" w:rsidR="00163219" w:rsidRPr="003E4273" w:rsidRDefault="002C2B59" w:rsidP="00191A05">
      <w:pPr>
        <w:numPr>
          <w:ilvl w:val="0"/>
          <w:numId w:val="11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prawidłowość wykonania zbrojenia,</w:t>
      </w:r>
    </w:p>
    <w:p w14:paraId="1D36DE37" w14:textId="77777777" w:rsidR="00163219" w:rsidRPr="003E4273" w:rsidRDefault="002C2B59" w:rsidP="00191A05">
      <w:pPr>
        <w:numPr>
          <w:ilvl w:val="0"/>
          <w:numId w:val="11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zgodność rzędnych z projektem,</w:t>
      </w:r>
    </w:p>
    <w:p w14:paraId="5CF7A7A4" w14:textId="77777777" w:rsidR="00163219" w:rsidRPr="003E4273" w:rsidRDefault="002C2B59" w:rsidP="00191A05">
      <w:pPr>
        <w:numPr>
          <w:ilvl w:val="0"/>
          <w:numId w:val="11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czystość deskowania oraz obecność wkładek dystansowych zapewniających wymaganą wielkość otuliny,</w:t>
      </w:r>
    </w:p>
    <w:p w14:paraId="23E7193E" w14:textId="77777777" w:rsidR="00163219" w:rsidRPr="003E4273" w:rsidRDefault="002C2B59" w:rsidP="00191A05">
      <w:pPr>
        <w:numPr>
          <w:ilvl w:val="0"/>
          <w:numId w:val="11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przygotowanie powierzchni betonu uprzednio ułożonego w miejscu przerwy roboczej,</w:t>
      </w:r>
    </w:p>
    <w:p w14:paraId="73C0311E" w14:textId="77777777" w:rsidR="00163219" w:rsidRPr="003E4273" w:rsidRDefault="002C2B59" w:rsidP="00191A05">
      <w:pPr>
        <w:numPr>
          <w:ilvl w:val="0"/>
          <w:numId w:val="11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prawidłowość wykonania wszystkich robót zanikających, między innymi wykonania przerw dylatacyjnych, warstw izolacyjnych, itp.,</w:t>
      </w:r>
    </w:p>
    <w:p w14:paraId="2F2944AF" w14:textId="77777777" w:rsidR="00163219" w:rsidRPr="003E4273" w:rsidRDefault="002C2B59" w:rsidP="00191A05">
      <w:pPr>
        <w:numPr>
          <w:ilvl w:val="0"/>
          <w:numId w:val="11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prawidłowość rozmieszczenia i niezmienność kształtu elementów wbudowanych w betonową konstrukcję (kanałów, wpustów, sączków, kotw, rur itp.),</w:t>
      </w:r>
    </w:p>
    <w:p w14:paraId="5D3CBFEB" w14:textId="77777777" w:rsidR="00163219" w:rsidRPr="003E4273" w:rsidRDefault="002C2B59" w:rsidP="00191A05">
      <w:pPr>
        <w:numPr>
          <w:ilvl w:val="0"/>
          <w:numId w:val="11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gotowość sprzętu i urządzeń do prowadzenia betonowania.</w:t>
      </w:r>
    </w:p>
    <w:p w14:paraId="7E9B8C1C" w14:textId="37C1A26D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Roboty betoniarskie muszą być wykonane zgodnie z wymaganiami norm: PN-EN 206</w:t>
      </w:r>
      <w:r w:rsidR="000A7055" w:rsidRPr="003E4273">
        <w:rPr>
          <w:rFonts w:ascii="Lato" w:hAnsi="Lato" w:cs="Arial"/>
          <w:color w:val="auto"/>
          <w:sz w:val="20"/>
          <w:szCs w:val="20"/>
        </w:rPr>
        <w:t>+A2:2021</w:t>
      </w:r>
    </w:p>
    <w:p w14:paraId="305B0409" w14:textId="77777777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Betonowanie można rozpocząć po uzyskaniu zezwolenia Inspektora nadzoru potwierdzonego wpisem do dziennika budowy.</w:t>
      </w:r>
    </w:p>
    <w:p w14:paraId="2EB69C78" w14:textId="77777777" w:rsidR="00163219" w:rsidRPr="003E4273" w:rsidRDefault="002C2B59" w:rsidP="00F84B17">
      <w:pPr>
        <w:tabs>
          <w:tab w:val="left" w:pos="567"/>
          <w:tab w:val="center" w:pos="3616"/>
        </w:tabs>
        <w:spacing w:after="0" w:line="248" w:lineRule="auto"/>
        <w:ind w:left="-15" w:right="0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3E4273">
        <w:rPr>
          <w:rFonts w:ascii="Lato" w:hAnsi="Lato" w:cs="Arial"/>
          <w:b/>
          <w:bCs/>
          <w:color w:val="auto"/>
          <w:sz w:val="20"/>
          <w:szCs w:val="20"/>
        </w:rPr>
        <w:t>5.3.</w:t>
      </w:r>
      <w:r w:rsidRPr="003E4273">
        <w:rPr>
          <w:rFonts w:ascii="Lato" w:hAnsi="Lato" w:cs="Arial"/>
          <w:b/>
          <w:bCs/>
          <w:color w:val="auto"/>
          <w:sz w:val="20"/>
          <w:szCs w:val="20"/>
        </w:rPr>
        <w:tab/>
        <w:t>Wytwarzanie, podawanie i układanie mieszanki betonowej</w:t>
      </w:r>
    </w:p>
    <w:p w14:paraId="2E9D8136" w14:textId="7777777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Wytwarzanie mieszanki betonowej powinno odbywać się wyłącznie w wyspecjalizowanym zakładzie produkcji betonu, który może zapewnić żądane w ST wymagania.</w:t>
      </w:r>
    </w:p>
    <w:p w14:paraId="6B72B162" w14:textId="77777777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Dozowanie składników do mieszanki betonowej powinno być dokonywane wyłącznie wagowo z dokładnością:</w:t>
      </w:r>
    </w:p>
    <w:p w14:paraId="0709FFCB" w14:textId="77777777" w:rsidR="00B83AFC" w:rsidRPr="003E4273" w:rsidRDefault="002C2B59" w:rsidP="00191A05">
      <w:pPr>
        <w:numPr>
          <w:ilvl w:val="0"/>
          <w:numId w:val="11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 xml:space="preserve">±2% – przy dozowaniu cementu i wody, </w:t>
      </w:r>
    </w:p>
    <w:p w14:paraId="2A0BE25B" w14:textId="0961B74A" w:rsidR="00163219" w:rsidRPr="003E4273" w:rsidRDefault="002C2B59" w:rsidP="00191A05">
      <w:pPr>
        <w:numPr>
          <w:ilvl w:val="0"/>
          <w:numId w:val="11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±3% – przy dozowaniu kruszywa.</w:t>
      </w:r>
    </w:p>
    <w:p w14:paraId="24F78A50" w14:textId="7777777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Dozatory muszą mieć aktualne świadectwo legalizacji.</w:t>
      </w:r>
    </w:p>
    <w:p w14:paraId="4781DCF4" w14:textId="7777777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Wagi powinny być kontrolowane co najmniej raz w roku.</w:t>
      </w:r>
    </w:p>
    <w:p w14:paraId="5C0657D4" w14:textId="77777777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Urządzenia dozujące wodę i płynne domieszki powinny być sprawdzane co najmniej raz w miesiącu. Przy dozowaniu składników powinno się uwzględniać korektę związaną ze zmiennym zawilgoceniem kruszywa.</w:t>
      </w:r>
    </w:p>
    <w:p w14:paraId="7A643C06" w14:textId="77777777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Czas mieszania należy ustalić doświadczalnie, jednak nie powinien on być krótszy niż 2 minuty.</w:t>
      </w:r>
    </w:p>
    <w:p w14:paraId="725FB47A" w14:textId="77777777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Do podawania mieszanek betonowych należy stosować pojemniki o konstrukcji umożliwiającej łatwe ich opróżnianie lub pompy przystosowanej do podawania mieszanek plastycznych. Przy stosowaniu pomp wymaga się sprawdzenia ustalonej konsystencji mieszanki betonowej przy wylocie.</w:t>
      </w:r>
    </w:p>
    <w:p w14:paraId="5C9BA7BA" w14:textId="77777777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Mieszanki betonowej nie należy zrzucać z wysokości większej niż 0,75 m od powierzchni, na którą spada. W przypadku, gdy wysokość ta jest większa, należy mieszankę podawać za pomocą rynny zsypowej (do wysokości 3,0 m) lub leja zsypowego teleskopowego (do wysokości 8,0 m).</w:t>
      </w:r>
    </w:p>
    <w:p w14:paraId="5A7E6AB4" w14:textId="77777777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Przy wykonywaniu elementów konstrukcji monolitycznych należy przestrzegać wymogów dokumentacji technologicznej, która powinna uwzględniać następujące zalecenia:</w:t>
      </w:r>
    </w:p>
    <w:p w14:paraId="3ED056F4" w14:textId="77777777" w:rsidR="00163219" w:rsidRPr="003E4273" w:rsidRDefault="002C2B59" w:rsidP="00191A05">
      <w:pPr>
        <w:numPr>
          <w:ilvl w:val="0"/>
          <w:numId w:val="12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w fundamentach, ścianach i ramach mieszankę betonową należy układać bezpośrednio z pojemnika lub rurociągu pompy bądź też za pośrednictwem rynny warstwami o grubości do 40 cm, zagęszczając wibratorami wgłębnymi,</w:t>
      </w:r>
    </w:p>
    <w:p w14:paraId="59A4A721" w14:textId="77777777" w:rsidR="00163219" w:rsidRPr="003E4273" w:rsidRDefault="002C2B59" w:rsidP="00191A05">
      <w:pPr>
        <w:numPr>
          <w:ilvl w:val="0"/>
          <w:numId w:val="12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przy wykonywaniu płyt mieszankę betonową należy układać bezpośrednio z pojemnika lub rurociągu pompy,</w:t>
      </w:r>
    </w:p>
    <w:p w14:paraId="1CAC8AB0" w14:textId="72810DDF" w:rsidR="00163219" w:rsidRPr="003E4273" w:rsidRDefault="002C2B59" w:rsidP="00191A05">
      <w:pPr>
        <w:numPr>
          <w:ilvl w:val="0"/>
          <w:numId w:val="12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przy betonowaniu oczepów, gzymsów, wsporników, zamków i stref przy</w:t>
      </w:r>
      <w:r w:rsidR="00472E5C" w:rsidRPr="003E4273">
        <w:rPr>
          <w:rFonts w:ascii="Lato" w:hAnsi="Lato" w:cs="Arial"/>
          <w:color w:val="auto"/>
          <w:sz w:val="20"/>
          <w:szCs w:val="20"/>
        </w:rPr>
        <w:t xml:space="preserve"> </w:t>
      </w:r>
      <w:r w:rsidRPr="003E4273">
        <w:rPr>
          <w:rFonts w:ascii="Lato" w:hAnsi="Lato" w:cs="Arial"/>
          <w:color w:val="auto"/>
          <w:sz w:val="20"/>
          <w:szCs w:val="20"/>
        </w:rPr>
        <w:t>dylatacyjnych stosować wibratory wgłębne.</w:t>
      </w:r>
    </w:p>
    <w:p w14:paraId="2251326B" w14:textId="77777777" w:rsidR="00163219" w:rsidRPr="003E4273" w:rsidRDefault="002C2B59" w:rsidP="00191A05">
      <w:pPr>
        <w:spacing w:after="0"/>
        <w:ind w:left="296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Przy zagęszczeniu mieszanki betonowej należy spełniać następujące warunki:</w:t>
      </w:r>
    </w:p>
    <w:p w14:paraId="2007FA5B" w14:textId="77777777" w:rsidR="00163219" w:rsidRPr="003E4273" w:rsidRDefault="002C2B59" w:rsidP="00191A05">
      <w:pPr>
        <w:numPr>
          <w:ilvl w:val="0"/>
          <w:numId w:val="12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lastRenderedPageBreak/>
        <w:t>wibratory wgłębne stosować o częstotliwości min. 6000 drgań na minutę, z buławami o średnicy nie większej niż 0,65 odległości między prętami zbrojenia leżącymi w płaszczyźnie poziomej,</w:t>
      </w:r>
    </w:p>
    <w:p w14:paraId="6D1C3379" w14:textId="77777777" w:rsidR="00163219" w:rsidRPr="003E4273" w:rsidRDefault="002C2B59" w:rsidP="00191A05">
      <w:pPr>
        <w:numPr>
          <w:ilvl w:val="0"/>
          <w:numId w:val="12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podczas zagęszczania wibratorami wgłębnymi nie wolno dotykać zbrojenia buławą wibratora,</w:t>
      </w:r>
    </w:p>
    <w:p w14:paraId="6DEF8E8F" w14:textId="77777777" w:rsidR="00163219" w:rsidRPr="003E4273" w:rsidRDefault="002C2B59" w:rsidP="00191A05">
      <w:pPr>
        <w:numPr>
          <w:ilvl w:val="0"/>
          <w:numId w:val="12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podczas zagęszczania wibratorami wgłębnymi należy zagłębiać buławę na głębokość 5÷8 cm w warstwę poprzednią i przytrzymywać buławę w jednym miejscu w czasie 20÷30 s., po czym wyjmować powoli w stanie wibrującym,</w:t>
      </w:r>
    </w:p>
    <w:p w14:paraId="1A3CE97B" w14:textId="77777777" w:rsidR="00163219" w:rsidRPr="003E4273" w:rsidRDefault="002C2B59" w:rsidP="00191A05">
      <w:pPr>
        <w:numPr>
          <w:ilvl w:val="0"/>
          <w:numId w:val="12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kolejne miejsca zagłębienia buławy powinny być od siebie oddalone o 1,4 R, gdzie R jest promieniem skutecznego działania wibratora; odległość ta zwykle wynosi 0,3÷0,5 m,</w:t>
      </w:r>
    </w:p>
    <w:p w14:paraId="2DD5CBF5" w14:textId="77777777" w:rsidR="00163219" w:rsidRPr="003E4273" w:rsidRDefault="002C2B59" w:rsidP="00191A05">
      <w:pPr>
        <w:numPr>
          <w:ilvl w:val="0"/>
          <w:numId w:val="12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belki (ławy) wibracyjne powinny być stosowane do wyrównania powierzchni betonu płyt pomostów i charakteryzować się jednakowymi drganiami na całej długości,</w:t>
      </w:r>
    </w:p>
    <w:p w14:paraId="7DFE3949" w14:textId="77777777" w:rsidR="00163219" w:rsidRPr="003E4273" w:rsidRDefault="002C2B59" w:rsidP="00191A05">
      <w:pPr>
        <w:numPr>
          <w:ilvl w:val="0"/>
          <w:numId w:val="12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czas zagęszczania wibratorem powierzchniowym lub belką (łatą) wibracyjną w jednym miejscu powinien wynosić od 30 do 60 s.,</w:t>
      </w:r>
    </w:p>
    <w:p w14:paraId="1CE8AA12" w14:textId="77777777" w:rsidR="00163219" w:rsidRPr="003E4273" w:rsidRDefault="002C2B59" w:rsidP="00191A05">
      <w:pPr>
        <w:numPr>
          <w:ilvl w:val="0"/>
          <w:numId w:val="12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zasięg działania wibratorów przyczepnych wynosi zwykle od 20 do 50 cm w kierunku głębokości i od 1,0 do 1,5 m w kierunku długości elementu; rozstaw wibratorów należy ustalić doświadczalnie tak, aby nie powstawały martwe pola.</w:t>
      </w:r>
    </w:p>
    <w:p w14:paraId="24D13474" w14:textId="77777777" w:rsidR="00163219" w:rsidRPr="003E4273" w:rsidRDefault="002C2B59" w:rsidP="00191A05">
      <w:pPr>
        <w:spacing w:after="0" w:line="248" w:lineRule="auto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Przerwy w betonowaniu należy sytuować w miejscach uprzednio przewidzianych i uzgodnionych z Projektantem.</w:t>
      </w:r>
    </w:p>
    <w:p w14:paraId="08D61DA9" w14:textId="77777777" w:rsidR="00163219" w:rsidRPr="003E4273" w:rsidRDefault="002C2B59" w:rsidP="00191A05">
      <w:pPr>
        <w:spacing w:after="0" w:line="248" w:lineRule="auto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Ukształtowanie powierzchni betonu w przerwie roboczej powinno być uzgodnione w Projektantem, a w prostszych przypadkach można się kierować zasadą, że powinna ona być prostopadła do powierzchni elementu.</w:t>
      </w:r>
    </w:p>
    <w:p w14:paraId="193C95DE" w14:textId="77777777" w:rsidR="00163219" w:rsidRPr="003E4273" w:rsidRDefault="002C2B59" w:rsidP="00191A05">
      <w:pPr>
        <w:spacing w:after="0" w:line="248" w:lineRule="auto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Powierzchnia betonu w miejscu przerwania betonowania powinna być starannie przygotowana do połączenia betonu stwardniałego ze świeżym przez usunięcie z powierzchni betonu stwardniałego, luźnych okruchów betonu oraz warstwy szkliwa cementowego oraz zwilżenie wodą. Powyższe zabiegi należy wykonać bezpośrednio przed rozpoczęciem betonowania.</w:t>
      </w:r>
    </w:p>
    <w:p w14:paraId="444E2556" w14:textId="77777777" w:rsidR="00163219" w:rsidRPr="003E4273" w:rsidRDefault="002C2B59" w:rsidP="00191A05">
      <w:pPr>
        <w:spacing w:after="0" w:line="248" w:lineRule="auto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W przypadku przerwy w układaniu betonu zagęszczanym przez wibrowanie wznowienie betonowania nie powinno się odbyć później niż w ciągu 3 godzin lub po całkowitym stwardnieniu betonu. Jeżeli temperatura powietrza jest wyższa niż 20°C, czas trwania przerwy nie powinien przekraczać 2 godzin.</w:t>
      </w:r>
    </w:p>
    <w:p w14:paraId="04FB3D38" w14:textId="77777777" w:rsidR="00163219" w:rsidRPr="003E4273" w:rsidRDefault="002C2B59" w:rsidP="00191A05">
      <w:pPr>
        <w:spacing w:after="0" w:line="248" w:lineRule="auto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Po wznowieniu betonowania należy unikać dotykania wibratorem deskowania, zbrojenia i poprzednio ułożonego betonu.</w:t>
      </w:r>
    </w:p>
    <w:p w14:paraId="3568532E" w14:textId="22B77E45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W przypadku, gdy betonowanie konstrukcji wykonywane jest także w nocy, konieczne jest wcześniejsze przygotowanie odpowiedniego oświetlenia, zapewniającego prawidłowe wykonawstwo robót i dostateczne warunki bezpieczeństwa pracy.</w:t>
      </w:r>
    </w:p>
    <w:p w14:paraId="7473F508" w14:textId="77777777" w:rsidR="00F84B17" w:rsidRPr="003E4273" w:rsidRDefault="00F84B17" w:rsidP="00191A05">
      <w:pPr>
        <w:spacing w:after="0"/>
        <w:ind w:left="-15" w:right="0" w:firstLine="286"/>
        <w:rPr>
          <w:rFonts w:ascii="Lato" w:hAnsi="Lato" w:cs="Arial"/>
          <w:b/>
          <w:bCs/>
          <w:color w:val="auto"/>
          <w:sz w:val="20"/>
          <w:szCs w:val="20"/>
        </w:rPr>
      </w:pPr>
    </w:p>
    <w:p w14:paraId="3E1C758A" w14:textId="77777777" w:rsidR="00F84B17" w:rsidRPr="003E4273" w:rsidRDefault="002C2B59" w:rsidP="00191A05">
      <w:pPr>
        <w:spacing w:after="0" w:line="248" w:lineRule="auto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b/>
          <w:bCs/>
          <w:color w:val="auto"/>
          <w:sz w:val="20"/>
          <w:szCs w:val="20"/>
        </w:rPr>
        <w:t>5.4. Warunki atmosferyczne</w:t>
      </w:r>
      <w:r w:rsidRPr="003E4273">
        <w:rPr>
          <w:rFonts w:ascii="Lato" w:hAnsi="Lato" w:cs="Arial"/>
          <w:color w:val="auto"/>
          <w:sz w:val="20"/>
          <w:szCs w:val="20"/>
        </w:rPr>
        <w:t xml:space="preserve"> </w:t>
      </w:r>
      <w:r w:rsidRPr="003E4273">
        <w:rPr>
          <w:rFonts w:ascii="Lato" w:hAnsi="Lato" w:cs="Arial"/>
          <w:b/>
          <w:bCs/>
          <w:color w:val="auto"/>
          <w:sz w:val="20"/>
          <w:szCs w:val="20"/>
        </w:rPr>
        <w:t>przy układaniu mieszanki betonowej i wiązaniu betonu</w:t>
      </w:r>
      <w:r w:rsidRPr="003E4273">
        <w:rPr>
          <w:rFonts w:ascii="Lato" w:hAnsi="Lato" w:cs="Arial"/>
          <w:color w:val="auto"/>
          <w:sz w:val="20"/>
          <w:szCs w:val="20"/>
        </w:rPr>
        <w:t xml:space="preserve"> </w:t>
      </w:r>
    </w:p>
    <w:p w14:paraId="7E4BCA46" w14:textId="34B27AC4" w:rsidR="00163219" w:rsidRPr="003E4273" w:rsidRDefault="002C2B59" w:rsidP="00191A05">
      <w:pPr>
        <w:spacing w:after="0" w:line="248" w:lineRule="auto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 xml:space="preserve">Betonowanie konstrukcji należy wykonywać wyłącznie w temperaturach nie niższych niż plus 5°C, zachowując warunki umożliwiające uzyskanie przez beton wytrzymałości co najmniej 15 </w:t>
      </w:r>
      <w:proofErr w:type="spellStart"/>
      <w:r w:rsidRPr="003E4273">
        <w:rPr>
          <w:rFonts w:ascii="Lato" w:hAnsi="Lato" w:cs="Arial"/>
          <w:color w:val="auto"/>
          <w:sz w:val="20"/>
          <w:szCs w:val="20"/>
        </w:rPr>
        <w:t>MPa</w:t>
      </w:r>
      <w:proofErr w:type="spellEnd"/>
      <w:r w:rsidRPr="003E4273">
        <w:rPr>
          <w:rFonts w:ascii="Lato" w:hAnsi="Lato" w:cs="Arial"/>
          <w:color w:val="auto"/>
          <w:sz w:val="20"/>
          <w:szCs w:val="20"/>
        </w:rPr>
        <w:t xml:space="preserve"> przed pierwszym zamarznięciem. Uzyskanie wytrzymałości 15 </w:t>
      </w:r>
      <w:proofErr w:type="spellStart"/>
      <w:r w:rsidRPr="003E4273">
        <w:rPr>
          <w:rFonts w:ascii="Lato" w:hAnsi="Lato" w:cs="Arial"/>
          <w:color w:val="auto"/>
          <w:sz w:val="20"/>
          <w:szCs w:val="20"/>
        </w:rPr>
        <w:t>MPa</w:t>
      </w:r>
      <w:proofErr w:type="spellEnd"/>
      <w:r w:rsidRPr="003E4273">
        <w:rPr>
          <w:rFonts w:ascii="Lato" w:hAnsi="Lato" w:cs="Arial"/>
          <w:color w:val="auto"/>
          <w:sz w:val="20"/>
          <w:szCs w:val="20"/>
        </w:rPr>
        <w:t xml:space="preserve"> powinno być zbadane na próbkach przechowywanych w takich samych warunkach, jak zabetonowana konstrukcja.</w:t>
      </w:r>
    </w:p>
    <w:p w14:paraId="3C9BD2F8" w14:textId="77777777" w:rsidR="00163219" w:rsidRPr="003E4273" w:rsidRDefault="002C2B59" w:rsidP="00191A05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0" w:line="220" w:lineRule="auto"/>
        <w:ind w:left="59" w:right="62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W wyjątkowych przypadkach dopuszcza się betonowanie w temperaturze do –5°C, jednak wymaga to zgody Inspektora nadzoru oraz zapewnienia temperatury mieszanki betonowej +20°C w chwili układania i zabezpieczenia uformowanego elementu przed utratą ciepła w czasie co najmniej 7 dni. Temperatura mieszanki betonowej w chwili opróżniania betoniarki nie powinna być wyższa niż 35°C.</w:t>
      </w:r>
    </w:p>
    <w:p w14:paraId="40F95188" w14:textId="1F8C1730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Niedopuszczalne jest kontynuowanie betonowania w czasie ulewnego deszczu, należy wówczas zabezpieczyć miejsce robót za pomocą mat lub folii.</w:t>
      </w:r>
    </w:p>
    <w:p w14:paraId="5C6259D6" w14:textId="77777777" w:rsidR="00F84B17" w:rsidRPr="003E4273" w:rsidRDefault="00F84B17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</w:p>
    <w:p w14:paraId="37B9954A" w14:textId="77777777" w:rsidR="00163219" w:rsidRPr="003E4273" w:rsidRDefault="002C2B59" w:rsidP="00F84B17">
      <w:pPr>
        <w:tabs>
          <w:tab w:val="left" w:pos="567"/>
          <w:tab w:val="center" w:pos="1576"/>
        </w:tabs>
        <w:spacing w:after="0" w:line="248" w:lineRule="auto"/>
        <w:ind w:left="-15" w:right="0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3E4273">
        <w:rPr>
          <w:rFonts w:ascii="Lato" w:hAnsi="Lato" w:cs="Arial"/>
          <w:b/>
          <w:bCs/>
          <w:color w:val="auto"/>
          <w:sz w:val="20"/>
          <w:szCs w:val="20"/>
        </w:rPr>
        <w:t>5.5.</w:t>
      </w:r>
      <w:r w:rsidRPr="003E4273">
        <w:rPr>
          <w:rFonts w:ascii="Lato" w:hAnsi="Lato" w:cs="Arial"/>
          <w:b/>
          <w:bCs/>
          <w:color w:val="auto"/>
          <w:sz w:val="20"/>
          <w:szCs w:val="20"/>
        </w:rPr>
        <w:tab/>
        <w:t>Pielęgnacja betonu</w:t>
      </w:r>
    </w:p>
    <w:p w14:paraId="65A10B47" w14:textId="7777777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Bezpośrednio po zakończeniu betonowania zaleca się przykrycie powierzchni betonu lekkimi wodoszczelnymi osłonami zapobiegającymi odparowaniu wody z betonu i chroniącymi beton przed deszczem i nasłonecznieniem.</w:t>
      </w:r>
    </w:p>
    <w:p w14:paraId="6E3A8300" w14:textId="77777777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Przy temperaturze otoczenia wyższej niż +5°C należy nie później niż po 12 godz. od zakończenia betonowania rozpocząć pielęgnację wilgotnościową betonu i prowadzić ją co najmniej przez 7 dni (przez polewanie co najmniej 3 razy na dobę).</w:t>
      </w:r>
    </w:p>
    <w:p w14:paraId="55C07988" w14:textId="77777777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Przy temperaturze otoczenia +15°C i wyższej beton należy polewać w ciągu pierwszych 3 dni co 3 godziny w dzień i co najmniej 1 raz w nocy, a w następne dni co najmniej 3 razy na dobę.</w:t>
      </w:r>
    </w:p>
    <w:p w14:paraId="54032AD9" w14:textId="77777777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Woda stosowana do polewania betonu powinna spełniać wymagania normy  PN-EN 1008-1:2004.</w:t>
      </w:r>
    </w:p>
    <w:p w14:paraId="188FBBDF" w14:textId="531DF9C1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 xml:space="preserve">W czasie dojrzewania betonu elementy powinny być chronione przed uderzeniami i drganiami przynajmniej do chwili uzyskania przez niego wytrzymałości na ściskanie co najmniej 15 </w:t>
      </w:r>
      <w:proofErr w:type="spellStart"/>
      <w:r w:rsidRPr="003E4273">
        <w:rPr>
          <w:rFonts w:ascii="Lato" w:hAnsi="Lato" w:cs="Arial"/>
          <w:color w:val="auto"/>
          <w:sz w:val="20"/>
          <w:szCs w:val="20"/>
        </w:rPr>
        <w:t>MPa</w:t>
      </w:r>
      <w:proofErr w:type="spellEnd"/>
      <w:r w:rsidRPr="003E4273">
        <w:rPr>
          <w:rFonts w:ascii="Lato" w:hAnsi="Lato" w:cs="Arial"/>
          <w:color w:val="auto"/>
          <w:sz w:val="20"/>
          <w:szCs w:val="20"/>
        </w:rPr>
        <w:t>.</w:t>
      </w:r>
    </w:p>
    <w:p w14:paraId="40035062" w14:textId="5F856A29" w:rsidR="002D616B" w:rsidRPr="003E4273" w:rsidRDefault="002D616B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</w:p>
    <w:p w14:paraId="733EEA5B" w14:textId="77777777" w:rsidR="002D616B" w:rsidRPr="003E4273" w:rsidRDefault="002D616B" w:rsidP="00CB1389">
      <w:pPr>
        <w:spacing w:after="0"/>
        <w:ind w:right="0"/>
        <w:rPr>
          <w:rFonts w:ascii="Lato" w:hAnsi="Lato" w:cs="Arial"/>
          <w:color w:val="auto"/>
          <w:sz w:val="20"/>
          <w:szCs w:val="20"/>
        </w:rPr>
      </w:pPr>
    </w:p>
    <w:p w14:paraId="5D272936" w14:textId="77777777" w:rsidR="00163219" w:rsidRPr="003E4273" w:rsidRDefault="002C2B59" w:rsidP="002D616B">
      <w:pPr>
        <w:tabs>
          <w:tab w:val="left" w:pos="567"/>
          <w:tab w:val="center" w:pos="2332"/>
        </w:tabs>
        <w:spacing w:after="0" w:line="248" w:lineRule="auto"/>
        <w:ind w:left="-15" w:right="0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3E4273">
        <w:rPr>
          <w:rFonts w:ascii="Lato" w:hAnsi="Lato" w:cs="Arial"/>
          <w:b/>
          <w:bCs/>
          <w:color w:val="auto"/>
          <w:sz w:val="20"/>
          <w:szCs w:val="20"/>
        </w:rPr>
        <w:t>5.6.</w:t>
      </w:r>
      <w:r w:rsidRPr="003E4273">
        <w:rPr>
          <w:rFonts w:ascii="Lato" w:hAnsi="Lato" w:cs="Arial"/>
          <w:b/>
          <w:bCs/>
          <w:color w:val="auto"/>
          <w:sz w:val="20"/>
          <w:szCs w:val="20"/>
        </w:rPr>
        <w:tab/>
        <w:t>Wykańczanie powierzchni betonu</w:t>
      </w:r>
    </w:p>
    <w:p w14:paraId="4264D63B" w14:textId="7777777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Dla powierzchni betonu obowiązują następujące wymagania:</w:t>
      </w:r>
    </w:p>
    <w:p w14:paraId="317B7891" w14:textId="77777777" w:rsidR="00163219" w:rsidRPr="003E4273" w:rsidRDefault="002C2B59" w:rsidP="00191A05">
      <w:pPr>
        <w:numPr>
          <w:ilvl w:val="0"/>
          <w:numId w:val="12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lastRenderedPageBreak/>
        <w:t>wszystkie betonowe powierzchnie muszą być gładkie i równe, bez zagłębień między ziarnami kruszywa, przełomami i wybrzuszeniami ponad powierzchnię,</w:t>
      </w:r>
    </w:p>
    <w:p w14:paraId="68CD1210" w14:textId="77777777" w:rsidR="00163219" w:rsidRPr="003E4273" w:rsidRDefault="002C2B59" w:rsidP="00191A05">
      <w:pPr>
        <w:numPr>
          <w:ilvl w:val="0"/>
          <w:numId w:val="12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pęknięcia i rysy są niedopuszczalne,</w:t>
      </w:r>
    </w:p>
    <w:p w14:paraId="1E3AE348" w14:textId="77777777" w:rsidR="00163219" w:rsidRPr="003E4273" w:rsidRDefault="002C2B59" w:rsidP="00191A05">
      <w:pPr>
        <w:numPr>
          <w:ilvl w:val="0"/>
          <w:numId w:val="12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wypukłości i wgłębienia nie powinny być większe niż 2 mm.</w:t>
      </w:r>
    </w:p>
    <w:p w14:paraId="542DF11C" w14:textId="77777777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 xml:space="preserve">Ostre krawędzie betonu po </w:t>
      </w:r>
      <w:proofErr w:type="spellStart"/>
      <w:r w:rsidRPr="003E4273">
        <w:rPr>
          <w:rFonts w:ascii="Lato" w:hAnsi="Lato" w:cs="Arial"/>
          <w:color w:val="auto"/>
          <w:sz w:val="20"/>
          <w:szCs w:val="20"/>
        </w:rPr>
        <w:t>rozdeskowaniu</w:t>
      </w:r>
      <w:proofErr w:type="spellEnd"/>
      <w:r w:rsidRPr="003E4273">
        <w:rPr>
          <w:rFonts w:ascii="Lato" w:hAnsi="Lato" w:cs="Arial"/>
          <w:color w:val="auto"/>
          <w:sz w:val="20"/>
          <w:szCs w:val="20"/>
        </w:rPr>
        <w:t xml:space="preserve"> powinny być oszlifowane. Jeżeli dokumentacja projektowa nie przewiduje specjalnego wykończenia powierzchni betonowych konstrukcji, to bezpośrednio po rozebraniu </w:t>
      </w:r>
      <w:proofErr w:type="spellStart"/>
      <w:r w:rsidRPr="003E4273">
        <w:rPr>
          <w:rFonts w:ascii="Lato" w:hAnsi="Lato" w:cs="Arial"/>
          <w:color w:val="auto"/>
          <w:sz w:val="20"/>
          <w:szCs w:val="20"/>
        </w:rPr>
        <w:t>deskowań</w:t>
      </w:r>
      <w:proofErr w:type="spellEnd"/>
      <w:r w:rsidRPr="003E4273">
        <w:rPr>
          <w:rFonts w:ascii="Lato" w:hAnsi="Lato" w:cs="Arial"/>
          <w:color w:val="auto"/>
          <w:sz w:val="20"/>
          <w:szCs w:val="20"/>
        </w:rPr>
        <w:t xml:space="preserve"> należy wszystkie wystające nierówności wyrównać za pomocą tarcz karborundowych i czystej wody.</w:t>
      </w:r>
    </w:p>
    <w:p w14:paraId="0187A29B" w14:textId="4FB1A6FC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 xml:space="preserve">Wyklucza się szpachlowanie konstrukcji po </w:t>
      </w:r>
      <w:proofErr w:type="spellStart"/>
      <w:r w:rsidRPr="003E4273">
        <w:rPr>
          <w:rFonts w:ascii="Lato" w:hAnsi="Lato" w:cs="Arial"/>
          <w:color w:val="auto"/>
          <w:sz w:val="20"/>
          <w:szCs w:val="20"/>
        </w:rPr>
        <w:t>rozdeskowaniu</w:t>
      </w:r>
      <w:proofErr w:type="spellEnd"/>
      <w:r w:rsidRPr="003E4273">
        <w:rPr>
          <w:rFonts w:ascii="Lato" w:hAnsi="Lato" w:cs="Arial"/>
          <w:color w:val="auto"/>
          <w:sz w:val="20"/>
          <w:szCs w:val="20"/>
        </w:rPr>
        <w:t>.</w:t>
      </w:r>
    </w:p>
    <w:p w14:paraId="6D5FEA2F" w14:textId="77777777" w:rsidR="002D616B" w:rsidRPr="003E4273" w:rsidRDefault="002D616B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</w:p>
    <w:p w14:paraId="4B75C935" w14:textId="77777777" w:rsidR="00163219" w:rsidRPr="003E4273" w:rsidRDefault="002C2B59" w:rsidP="002D616B">
      <w:pPr>
        <w:tabs>
          <w:tab w:val="center" w:pos="1134"/>
        </w:tabs>
        <w:spacing w:after="0" w:line="248" w:lineRule="auto"/>
        <w:ind w:left="-15" w:right="0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3E4273">
        <w:rPr>
          <w:rFonts w:ascii="Lato" w:hAnsi="Lato" w:cs="Arial"/>
          <w:b/>
          <w:bCs/>
          <w:color w:val="auto"/>
          <w:sz w:val="20"/>
          <w:szCs w:val="20"/>
        </w:rPr>
        <w:t>5.7.</w:t>
      </w:r>
      <w:r w:rsidRPr="003E4273">
        <w:rPr>
          <w:rFonts w:ascii="Lato" w:hAnsi="Lato" w:cs="Arial"/>
          <w:b/>
          <w:bCs/>
          <w:color w:val="auto"/>
          <w:sz w:val="20"/>
          <w:szCs w:val="20"/>
        </w:rPr>
        <w:tab/>
        <w:t>Rusztowania</w:t>
      </w:r>
    </w:p>
    <w:p w14:paraId="00B4D93D" w14:textId="7777777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Rusztowania należy wykonać na podstawie projektu technologicznego opracowanego przez Wykonawcę w ramach ceny kontraktowej i uzgodnionej z Inspektorem nadzoru. Rusztowania mogą być wykonane z elementów drewnianych lub stalowych.</w:t>
      </w:r>
    </w:p>
    <w:p w14:paraId="34FEB614" w14:textId="77777777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Rusztowania powinny w czasie ich eksploatacji zapewnić sztywność i niezmienność układu geometrycznego i bezpieczeństwo konstrukcji.</w:t>
      </w:r>
    </w:p>
    <w:p w14:paraId="2A9BEA98" w14:textId="77777777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Wykonanie rusztowań powinno uwzględniać „podniesienie wykonawcze” związane za strzałką konstrukcji oraz ugięciem i osiadaniem rusztowań pod wpływem ciężaru układanego betonu.</w:t>
      </w:r>
    </w:p>
    <w:p w14:paraId="3A839994" w14:textId="77777777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Wykonawca powinien przedłożyć Inspektorowi nadzoru do akceptacji szczegółowe rysunki robocze rusztowań.</w:t>
      </w:r>
    </w:p>
    <w:p w14:paraId="65A7A87B" w14:textId="2E8BA536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Całkowita rozbiórka rusztowań może nastąpić po osiągnięciu przez beton wytrzymałości</w:t>
      </w:r>
      <w:r w:rsidR="00EF4E5A" w:rsidRPr="003E4273">
        <w:rPr>
          <w:rFonts w:ascii="Lato" w:hAnsi="Lato" w:cs="Arial"/>
          <w:color w:val="auto"/>
          <w:sz w:val="20"/>
          <w:szCs w:val="20"/>
        </w:rPr>
        <w:t xml:space="preserve">. </w:t>
      </w:r>
      <w:r w:rsidRPr="003E4273">
        <w:rPr>
          <w:rFonts w:ascii="Lato" w:hAnsi="Lato" w:cs="Arial"/>
          <w:color w:val="auto"/>
          <w:sz w:val="20"/>
          <w:szCs w:val="20"/>
        </w:rPr>
        <w:t xml:space="preserve">Rusztowanie należy rozbierać stopniowo, pod ścisłym nadzorem, unikając jednoczesnego usunięcia większej liczby podpór. </w:t>
      </w:r>
    </w:p>
    <w:p w14:paraId="21E45A11" w14:textId="77777777" w:rsidR="002D616B" w:rsidRPr="003E4273" w:rsidRDefault="002D616B" w:rsidP="00191A05">
      <w:pPr>
        <w:spacing w:after="0"/>
        <w:ind w:left="-15" w:right="0" w:firstLine="286"/>
        <w:rPr>
          <w:rFonts w:ascii="Lato" w:hAnsi="Lato" w:cs="Arial"/>
          <w:b/>
          <w:bCs/>
          <w:color w:val="auto"/>
          <w:sz w:val="20"/>
          <w:szCs w:val="20"/>
        </w:rPr>
      </w:pPr>
    </w:p>
    <w:p w14:paraId="6BF75371" w14:textId="77777777" w:rsidR="00163219" w:rsidRPr="003E4273" w:rsidRDefault="002C2B59" w:rsidP="002D616B">
      <w:pPr>
        <w:tabs>
          <w:tab w:val="center" w:pos="1134"/>
        </w:tabs>
        <w:spacing w:after="0" w:line="248" w:lineRule="auto"/>
        <w:ind w:left="-15" w:right="0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3E4273">
        <w:rPr>
          <w:rFonts w:ascii="Lato" w:hAnsi="Lato" w:cs="Arial"/>
          <w:b/>
          <w:bCs/>
          <w:color w:val="auto"/>
          <w:sz w:val="20"/>
          <w:szCs w:val="20"/>
        </w:rPr>
        <w:t>5.8.</w:t>
      </w:r>
      <w:r w:rsidRPr="003E4273">
        <w:rPr>
          <w:rFonts w:ascii="Lato" w:hAnsi="Lato" w:cs="Arial"/>
          <w:b/>
          <w:bCs/>
          <w:color w:val="auto"/>
          <w:sz w:val="20"/>
          <w:szCs w:val="20"/>
        </w:rPr>
        <w:tab/>
        <w:t>Deskowania</w:t>
      </w:r>
    </w:p>
    <w:p w14:paraId="0A491150" w14:textId="77777777" w:rsidR="00163219" w:rsidRPr="003E4273" w:rsidRDefault="002C2B59" w:rsidP="00191A05">
      <w:pPr>
        <w:spacing w:after="0" w:line="248" w:lineRule="auto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Deskowania dla podstawowych elementów konstrukcji obiektu (ustroju nośnego, podpór) należy wykonać według projektu technologicznego deskowania, opracowanego na podstawie obliczeń statyczno-wytrzymałościowych.</w:t>
      </w:r>
    </w:p>
    <w:p w14:paraId="3029D5E6" w14:textId="77777777" w:rsidR="00163219" w:rsidRPr="003E4273" w:rsidRDefault="002C2B59" w:rsidP="00191A05">
      <w:pPr>
        <w:spacing w:after="0" w:line="248" w:lineRule="auto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Projekt opracuje Wykonawca w ramach ceny kontraktowej i uzgadnia z Projektantem.</w:t>
      </w:r>
    </w:p>
    <w:p w14:paraId="4FFF95FF" w14:textId="77777777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 xml:space="preserve">Konstrukcja </w:t>
      </w:r>
      <w:proofErr w:type="spellStart"/>
      <w:r w:rsidRPr="003E4273">
        <w:rPr>
          <w:rFonts w:ascii="Lato" w:hAnsi="Lato" w:cs="Arial"/>
          <w:color w:val="auto"/>
          <w:sz w:val="20"/>
          <w:szCs w:val="20"/>
        </w:rPr>
        <w:t>deskowań</w:t>
      </w:r>
      <w:proofErr w:type="spellEnd"/>
      <w:r w:rsidRPr="003E4273">
        <w:rPr>
          <w:rFonts w:ascii="Lato" w:hAnsi="Lato" w:cs="Arial"/>
          <w:color w:val="auto"/>
          <w:sz w:val="20"/>
          <w:szCs w:val="20"/>
        </w:rPr>
        <w:t xml:space="preserve"> powinna być sprawdzana na siły wywołane parciem świeżej masy betonowej i uderzeniami przy jej wylewaniu z pojemników oraz powinna uwzględniać:</w:t>
      </w:r>
    </w:p>
    <w:p w14:paraId="1B2A2F61" w14:textId="77777777" w:rsidR="00163219" w:rsidRPr="003E4273" w:rsidRDefault="002C2B59" w:rsidP="00191A05">
      <w:pPr>
        <w:numPr>
          <w:ilvl w:val="0"/>
          <w:numId w:val="13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szybkość betonowania,</w:t>
      </w:r>
    </w:p>
    <w:p w14:paraId="3C686A9D" w14:textId="77777777" w:rsidR="00163219" w:rsidRPr="003E4273" w:rsidRDefault="002C2B59" w:rsidP="00191A05">
      <w:pPr>
        <w:numPr>
          <w:ilvl w:val="0"/>
          <w:numId w:val="13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sposób zagęszczania,</w:t>
      </w:r>
    </w:p>
    <w:p w14:paraId="0CCEE2BA" w14:textId="77777777" w:rsidR="00163219" w:rsidRPr="003E4273" w:rsidRDefault="002C2B59" w:rsidP="00191A05">
      <w:pPr>
        <w:numPr>
          <w:ilvl w:val="0"/>
          <w:numId w:val="13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obciążenia pomostami roboczymi.</w:t>
      </w:r>
    </w:p>
    <w:p w14:paraId="77DCBD4D" w14:textId="7777777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Konstrukcja deskowania powinna spełniać następujące warunki:</w:t>
      </w:r>
    </w:p>
    <w:p w14:paraId="6A573AF7" w14:textId="77777777" w:rsidR="00163219" w:rsidRPr="003E4273" w:rsidRDefault="002C2B59" w:rsidP="00191A05">
      <w:pPr>
        <w:numPr>
          <w:ilvl w:val="0"/>
          <w:numId w:val="13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zapewniać odpowiednią sztywność i niezmienność kształtu konstrukcji,</w:t>
      </w:r>
    </w:p>
    <w:p w14:paraId="2F7E09A5" w14:textId="77777777" w:rsidR="00163219" w:rsidRPr="003E4273" w:rsidRDefault="002C2B59" w:rsidP="00191A05">
      <w:pPr>
        <w:numPr>
          <w:ilvl w:val="0"/>
          <w:numId w:val="13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zapewniać jednorodną powierzchnię betonu,</w:t>
      </w:r>
    </w:p>
    <w:p w14:paraId="1144D8B5" w14:textId="77777777" w:rsidR="00163219" w:rsidRPr="003E4273" w:rsidRDefault="002C2B59" w:rsidP="00191A05">
      <w:pPr>
        <w:numPr>
          <w:ilvl w:val="0"/>
          <w:numId w:val="13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zapewniać odpowiednią szczelność,</w:t>
      </w:r>
    </w:p>
    <w:p w14:paraId="193A6276" w14:textId="77777777" w:rsidR="00163219" w:rsidRPr="003E4273" w:rsidRDefault="002C2B59" w:rsidP="00191A05">
      <w:pPr>
        <w:numPr>
          <w:ilvl w:val="0"/>
          <w:numId w:val="13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zapewniać łatwy ich montaż i demontaż oraz wielokrotność użycia,</w:t>
      </w:r>
    </w:p>
    <w:p w14:paraId="6FE00003" w14:textId="77777777" w:rsidR="00163219" w:rsidRPr="003E4273" w:rsidRDefault="002C2B59" w:rsidP="00191A05">
      <w:pPr>
        <w:numPr>
          <w:ilvl w:val="0"/>
          <w:numId w:val="13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wykazywać odporność na deformację pod wpływem warunków atmosferycznych.</w:t>
      </w:r>
    </w:p>
    <w:p w14:paraId="7F6D674D" w14:textId="77777777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 xml:space="preserve">Deskowania zaleca się wykonywać ze sklejki. W uzasadnionych przypadkach na część </w:t>
      </w:r>
      <w:proofErr w:type="spellStart"/>
      <w:r w:rsidRPr="003E4273">
        <w:rPr>
          <w:rFonts w:ascii="Lato" w:hAnsi="Lato" w:cs="Arial"/>
          <w:color w:val="auto"/>
          <w:sz w:val="20"/>
          <w:szCs w:val="20"/>
        </w:rPr>
        <w:t>deskowań</w:t>
      </w:r>
      <w:proofErr w:type="spellEnd"/>
      <w:r w:rsidRPr="003E4273">
        <w:rPr>
          <w:rFonts w:ascii="Lato" w:hAnsi="Lato" w:cs="Arial"/>
          <w:color w:val="auto"/>
          <w:sz w:val="20"/>
          <w:szCs w:val="20"/>
        </w:rPr>
        <w:t xml:space="preserve"> można użyć desek z drzew iglastych III lub IV klasy. Minimalna grubość desek wynosi 32 mm.</w:t>
      </w:r>
    </w:p>
    <w:p w14:paraId="2320EAB0" w14:textId="77777777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 xml:space="preserve">Deski powinny być jednostronnie strugane i przygotowane do łączenia na wpust i pióro. Styki, gdzie nie można zastosować połączenia na pióro i wpust, należy uszczelnić taśmami z tworzyw sztucznych albo pianką. Należy zwrócić szczególną uwagę na uszczelnienie styków ścian z dnem deskowania oraz styków </w:t>
      </w:r>
      <w:proofErr w:type="spellStart"/>
      <w:r w:rsidRPr="003E4273">
        <w:rPr>
          <w:rFonts w:ascii="Lato" w:hAnsi="Lato" w:cs="Arial"/>
          <w:color w:val="auto"/>
          <w:sz w:val="20"/>
          <w:szCs w:val="20"/>
        </w:rPr>
        <w:t>deskowań</w:t>
      </w:r>
      <w:proofErr w:type="spellEnd"/>
      <w:r w:rsidRPr="003E4273">
        <w:rPr>
          <w:rFonts w:ascii="Lato" w:hAnsi="Lato" w:cs="Arial"/>
          <w:color w:val="auto"/>
          <w:sz w:val="20"/>
          <w:szCs w:val="20"/>
        </w:rPr>
        <w:t xml:space="preserve"> belek i poprzecznic.</w:t>
      </w:r>
    </w:p>
    <w:p w14:paraId="40D82333" w14:textId="7777777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proofErr w:type="spellStart"/>
      <w:r w:rsidRPr="003E4273">
        <w:rPr>
          <w:rFonts w:ascii="Lato" w:hAnsi="Lato" w:cs="Arial"/>
          <w:color w:val="auto"/>
          <w:sz w:val="20"/>
          <w:szCs w:val="20"/>
        </w:rPr>
        <w:t>Sfazowania</w:t>
      </w:r>
      <w:proofErr w:type="spellEnd"/>
      <w:r w:rsidRPr="003E4273">
        <w:rPr>
          <w:rFonts w:ascii="Lato" w:hAnsi="Lato" w:cs="Arial"/>
          <w:color w:val="auto"/>
          <w:sz w:val="20"/>
          <w:szCs w:val="20"/>
        </w:rPr>
        <w:t xml:space="preserve"> należy wykonywać zgodnie z dokumentacją projektową.</w:t>
      </w:r>
    </w:p>
    <w:p w14:paraId="3ECB3D62" w14:textId="77777777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Belki gzymsowe oraz gzymsy wykonywane razem z pokrywami okapowymi muszą być wykonywane w deskowaniu z zastosowaniem wykładzin.</w:t>
      </w:r>
    </w:p>
    <w:p w14:paraId="15FEBAFC" w14:textId="5BFE0E1C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Otwory w konstrukcji i osadzanie elementów typu odcinki rur, łączniki należy wykonać wg wymagań dokumentacji projektowej.</w:t>
      </w:r>
    </w:p>
    <w:p w14:paraId="3C7029CE" w14:textId="77777777" w:rsidR="00472E5C" w:rsidRPr="003E4273" w:rsidRDefault="00472E5C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</w:p>
    <w:p w14:paraId="68581BFA" w14:textId="680E1CB8" w:rsidR="00163219" w:rsidRPr="003E4273" w:rsidRDefault="002C2B59" w:rsidP="00191A05">
      <w:pPr>
        <w:numPr>
          <w:ilvl w:val="0"/>
          <w:numId w:val="14"/>
        </w:numPr>
        <w:spacing w:after="0" w:line="248" w:lineRule="auto"/>
        <w:ind w:right="0" w:hanging="451"/>
        <w:rPr>
          <w:rFonts w:ascii="Lato" w:hAnsi="Lato" w:cs="Arial"/>
          <w:b/>
          <w:bCs/>
          <w:color w:val="auto"/>
          <w:sz w:val="20"/>
          <w:szCs w:val="20"/>
        </w:rPr>
      </w:pPr>
      <w:r w:rsidRPr="003E4273">
        <w:rPr>
          <w:rFonts w:ascii="Lato" w:hAnsi="Lato" w:cs="Arial"/>
          <w:b/>
          <w:bCs/>
          <w:color w:val="auto"/>
          <w:sz w:val="20"/>
          <w:szCs w:val="20"/>
        </w:rPr>
        <w:t>KONTROLA JAKOŚCI ROBÓT</w:t>
      </w:r>
    </w:p>
    <w:p w14:paraId="00709C5C" w14:textId="4000E5EC" w:rsidR="002D616B" w:rsidRPr="003E4273" w:rsidRDefault="002D616B" w:rsidP="002D616B">
      <w:pPr>
        <w:spacing w:after="0" w:line="248" w:lineRule="auto"/>
        <w:ind w:left="451" w:right="0" w:firstLine="0"/>
        <w:rPr>
          <w:rFonts w:ascii="Lato" w:hAnsi="Lato" w:cs="Arial"/>
          <w:b/>
          <w:bCs/>
          <w:color w:val="auto"/>
          <w:sz w:val="20"/>
          <w:szCs w:val="20"/>
        </w:rPr>
      </w:pPr>
    </w:p>
    <w:p w14:paraId="17363C23" w14:textId="7D81547D" w:rsidR="00163219" w:rsidRPr="003E4273" w:rsidRDefault="002C2B59" w:rsidP="00472E5C">
      <w:pPr>
        <w:numPr>
          <w:ilvl w:val="1"/>
          <w:numId w:val="14"/>
        </w:numPr>
        <w:spacing w:after="0" w:line="248" w:lineRule="auto"/>
        <w:ind w:left="567" w:right="0" w:hanging="571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Ogólne zasady kontroli jakości robót podano w ST „Wymagania ogólne”, Kod CPV 45000000-7, pkt 6</w:t>
      </w:r>
    </w:p>
    <w:p w14:paraId="659343BB" w14:textId="77777777" w:rsidR="002D616B" w:rsidRPr="003E4273" w:rsidRDefault="002D616B" w:rsidP="002D616B">
      <w:pPr>
        <w:spacing w:after="0" w:line="248" w:lineRule="auto"/>
        <w:ind w:left="567" w:right="0" w:firstLine="0"/>
        <w:rPr>
          <w:rFonts w:ascii="Lato" w:hAnsi="Lato" w:cs="Arial"/>
          <w:color w:val="auto"/>
          <w:sz w:val="20"/>
          <w:szCs w:val="20"/>
        </w:rPr>
      </w:pPr>
    </w:p>
    <w:p w14:paraId="16ADB6ED" w14:textId="77777777" w:rsidR="00163219" w:rsidRPr="003E4273" w:rsidRDefault="002C2B59" w:rsidP="00472E5C">
      <w:pPr>
        <w:numPr>
          <w:ilvl w:val="1"/>
          <w:numId w:val="14"/>
        </w:numPr>
        <w:spacing w:after="0" w:line="248" w:lineRule="auto"/>
        <w:ind w:left="567" w:right="0" w:hanging="571"/>
        <w:rPr>
          <w:rFonts w:ascii="Lato" w:hAnsi="Lato" w:cs="Arial"/>
          <w:b/>
          <w:bCs/>
          <w:color w:val="auto"/>
          <w:sz w:val="20"/>
          <w:szCs w:val="20"/>
        </w:rPr>
      </w:pPr>
      <w:r w:rsidRPr="003E4273">
        <w:rPr>
          <w:rFonts w:ascii="Lato" w:hAnsi="Lato" w:cs="Arial"/>
          <w:b/>
          <w:bCs/>
          <w:color w:val="auto"/>
          <w:sz w:val="20"/>
          <w:szCs w:val="20"/>
        </w:rPr>
        <w:t>Badania kontrolne betonu</w:t>
      </w:r>
    </w:p>
    <w:p w14:paraId="214F5C05" w14:textId="0FBA5982" w:rsidR="00163219" w:rsidRPr="003E4273" w:rsidRDefault="002C2B59" w:rsidP="00472E5C">
      <w:pPr>
        <w:pStyle w:val="Akapitzlist"/>
        <w:numPr>
          <w:ilvl w:val="0"/>
          <w:numId w:val="26"/>
        </w:numPr>
        <w:spacing w:after="0"/>
        <w:ind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Dla określenia wytrzymałości betonu wbudowanego w konstrukcję należy w trakcie betonowania pobierać próbki kontrolne w postaci kostek sześciennych o boku 15 cm w liczbie nie mniejszej niż:</w:t>
      </w:r>
    </w:p>
    <w:p w14:paraId="7C89EEF3" w14:textId="77777777" w:rsidR="00163219" w:rsidRPr="003E4273" w:rsidRDefault="002C2B59" w:rsidP="00191A05">
      <w:pPr>
        <w:numPr>
          <w:ilvl w:val="0"/>
          <w:numId w:val="15"/>
        </w:numPr>
        <w:spacing w:after="0"/>
        <w:ind w:right="62" w:hanging="64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 xml:space="preserve">1 próbka na 100 </w:t>
      </w:r>
      <w:proofErr w:type="spellStart"/>
      <w:r w:rsidRPr="003E4273">
        <w:rPr>
          <w:rFonts w:ascii="Lato" w:hAnsi="Lato" w:cs="Arial"/>
          <w:color w:val="auto"/>
          <w:sz w:val="20"/>
          <w:szCs w:val="20"/>
        </w:rPr>
        <w:t>zarobów</w:t>
      </w:r>
      <w:proofErr w:type="spellEnd"/>
      <w:r w:rsidRPr="003E4273">
        <w:rPr>
          <w:rFonts w:ascii="Lato" w:hAnsi="Lato" w:cs="Arial"/>
          <w:color w:val="auto"/>
          <w:sz w:val="20"/>
          <w:szCs w:val="20"/>
        </w:rPr>
        <w:t>,</w:t>
      </w:r>
    </w:p>
    <w:p w14:paraId="52A0D6E3" w14:textId="77777777" w:rsidR="00163219" w:rsidRPr="003E4273" w:rsidRDefault="002C2B59" w:rsidP="00191A05">
      <w:pPr>
        <w:numPr>
          <w:ilvl w:val="0"/>
          <w:numId w:val="15"/>
        </w:numPr>
        <w:spacing w:after="0"/>
        <w:ind w:right="62" w:hanging="64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1 próbka na 50 m</w:t>
      </w:r>
      <w:r w:rsidRPr="003E4273">
        <w:rPr>
          <w:rFonts w:ascii="Lato" w:hAnsi="Lato" w:cs="Arial"/>
          <w:color w:val="auto"/>
          <w:sz w:val="20"/>
          <w:szCs w:val="20"/>
          <w:vertAlign w:val="superscript"/>
        </w:rPr>
        <w:t>3</w:t>
      </w:r>
      <w:r w:rsidRPr="003E4273">
        <w:rPr>
          <w:rFonts w:ascii="Lato" w:hAnsi="Lato" w:cs="Arial"/>
          <w:color w:val="auto"/>
          <w:sz w:val="20"/>
          <w:szCs w:val="20"/>
        </w:rPr>
        <w:t xml:space="preserve"> betonu,</w:t>
      </w:r>
    </w:p>
    <w:p w14:paraId="7F41AC3B" w14:textId="77777777" w:rsidR="00472E5C" w:rsidRPr="003E4273" w:rsidRDefault="002C2B59" w:rsidP="00191A05">
      <w:pPr>
        <w:numPr>
          <w:ilvl w:val="0"/>
          <w:numId w:val="15"/>
        </w:numPr>
        <w:spacing w:after="0"/>
        <w:ind w:right="62" w:hanging="64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1 próbka na zmianę roboczą,</w:t>
      </w:r>
    </w:p>
    <w:p w14:paraId="7F60B0FB" w14:textId="69C40EF5" w:rsidR="00163219" w:rsidRPr="003E4273" w:rsidRDefault="002C2B59" w:rsidP="00191A05">
      <w:pPr>
        <w:numPr>
          <w:ilvl w:val="0"/>
          <w:numId w:val="15"/>
        </w:numPr>
        <w:spacing w:after="0"/>
        <w:ind w:right="62" w:hanging="64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ab/>
        <w:t>3 próbki na partię betonu.</w:t>
      </w:r>
    </w:p>
    <w:p w14:paraId="3B728A51" w14:textId="044525D3" w:rsidR="00163219" w:rsidRPr="003E4273" w:rsidRDefault="002C2B59" w:rsidP="00472E5C">
      <w:pPr>
        <w:spacing w:after="0"/>
        <w:ind w:left="-15" w:right="0" w:firstLine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lastRenderedPageBreak/>
        <w:t>Próbki pobiera się losowo po jednej, równomiernie w okresie betonowania, a następnie przechowuje się, przygotowuje i bada w okresie 28 dni</w:t>
      </w:r>
      <w:r w:rsidR="00EF4E5A" w:rsidRPr="003E4273">
        <w:rPr>
          <w:rFonts w:ascii="Lato" w:hAnsi="Lato" w:cs="Arial"/>
          <w:color w:val="auto"/>
          <w:sz w:val="20"/>
          <w:szCs w:val="20"/>
        </w:rPr>
        <w:t>.</w:t>
      </w:r>
    </w:p>
    <w:p w14:paraId="34310617" w14:textId="77777777" w:rsidR="00163219" w:rsidRPr="003E4273" w:rsidRDefault="002C2B59" w:rsidP="00472E5C">
      <w:pPr>
        <w:spacing w:after="0"/>
        <w:ind w:left="-15" w:right="0" w:firstLine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Jeżeli próbki pobrane i badane jak wyżej wykażą wytrzymałość niższą od przewidzianej dla danej klasy betonu, należy przeprowadzić badania próbek wyciętych z konstrukcji.</w:t>
      </w:r>
    </w:p>
    <w:p w14:paraId="57C370D4" w14:textId="77777777" w:rsidR="00163219" w:rsidRPr="003E4273" w:rsidRDefault="002C2B59" w:rsidP="00472E5C">
      <w:pPr>
        <w:spacing w:after="0"/>
        <w:ind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Jeżeli wyniki tych badań będą pozytywne, to beton należy uznać za odpowiadający wymaganej klasie betonu.</w:t>
      </w:r>
    </w:p>
    <w:p w14:paraId="7FCC5200" w14:textId="77777777" w:rsidR="00163219" w:rsidRPr="003E4273" w:rsidRDefault="002C2B59" w:rsidP="00472E5C">
      <w:pPr>
        <w:spacing w:after="0" w:line="248" w:lineRule="auto"/>
        <w:ind w:left="-15" w:right="0" w:firstLine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W przypadku niespełnienia warunków wytrzymałości betonu na ściskanie po 28 dniach dojrzewania, dopuszcza się w uzasadnionych przypadkach, za zgodą Inspektora nadzoru, spełnienie tego warunku w okresie późniejszym, lecz nie dłuższym niż 90 dni.</w:t>
      </w:r>
    </w:p>
    <w:p w14:paraId="5C72B3CC" w14:textId="77777777" w:rsidR="00163219" w:rsidRPr="003E4273" w:rsidRDefault="002C2B59" w:rsidP="00472E5C">
      <w:pPr>
        <w:spacing w:after="0"/>
        <w:ind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Dopuszcza się pobieranie dodatkowych próbek i badanie wytrzymałości betonu na ściskanie w okresie krótszym niż od 28 dni.</w:t>
      </w:r>
    </w:p>
    <w:p w14:paraId="3768853B" w14:textId="766F54C6" w:rsidR="00163219" w:rsidRPr="003E4273" w:rsidRDefault="002C2B59" w:rsidP="00472E5C">
      <w:pPr>
        <w:numPr>
          <w:ilvl w:val="2"/>
          <w:numId w:val="16"/>
        </w:numPr>
        <w:spacing w:after="0"/>
        <w:ind w:left="709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Dla określenia nasiąkliwości betonu należy pobrać przy stanowisku betonowania co najmniej jeden raz w okresie betonowania obiektu oraz każdorazowo przy zmianie składników betonu, sposobu układania i zagęszczania po 3 próbki o kształcie regularnym lub po 5 próbek o kształcie nieregularnym, zgodnie z normą PN-EN 206</w:t>
      </w:r>
      <w:r w:rsidR="000A7055" w:rsidRPr="003E4273">
        <w:rPr>
          <w:rFonts w:ascii="Lato" w:hAnsi="Lato" w:cs="Arial"/>
          <w:color w:val="auto"/>
          <w:sz w:val="20"/>
          <w:szCs w:val="20"/>
        </w:rPr>
        <w:t>+A2:2021-08</w:t>
      </w:r>
      <w:r w:rsidRPr="003E4273">
        <w:rPr>
          <w:rFonts w:ascii="Lato" w:hAnsi="Lato" w:cs="Arial"/>
          <w:color w:val="auto"/>
          <w:sz w:val="20"/>
          <w:szCs w:val="20"/>
        </w:rPr>
        <w:t>.</w:t>
      </w:r>
    </w:p>
    <w:p w14:paraId="3FCC0665" w14:textId="54242378" w:rsidR="00163219" w:rsidRPr="003E4273" w:rsidRDefault="002C2B59" w:rsidP="00472E5C">
      <w:pPr>
        <w:spacing w:after="0"/>
        <w:ind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Próbki trzeba przechowywać w warunkach laboratoryjnych i badać w okresie 28 dni zgodnie z normą PN-EN 206</w:t>
      </w:r>
      <w:r w:rsidR="000A7055" w:rsidRPr="003E4273">
        <w:rPr>
          <w:rFonts w:ascii="Lato" w:hAnsi="Lato" w:cs="Arial"/>
          <w:color w:val="auto"/>
          <w:sz w:val="20"/>
          <w:szCs w:val="20"/>
        </w:rPr>
        <w:t>+A2:2021-08</w:t>
      </w:r>
      <w:r w:rsidRPr="003E4273">
        <w:rPr>
          <w:rFonts w:ascii="Lato" w:hAnsi="Lato" w:cs="Arial"/>
          <w:color w:val="auto"/>
          <w:sz w:val="20"/>
          <w:szCs w:val="20"/>
        </w:rPr>
        <w:t>.</w:t>
      </w:r>
    </w:p>
    <w:p w14:paraId="111E21FE" w14:textId="7777777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Nasiąkliwość zaleca się również badać na próbkach wyciętych z konstrukcji.</w:t>
      </w:r>
    </w:p>
    <w:p w14:paraId="4C0AC3D2" w14:textId="3CDB45C1" w:rsidR="00163219" w:rsidRPr="003E4273" w:rsidRDefault="002C2B59" w:rsidP="00472E5C">
      <w:pPr>
        <w:numPr>
          <w:ilvl w:val="2"/>
          <w:numId w:val="16"/>
        </w:numPr>
        <w:spacing w:after="0"/>
        <w:ind w:left="709" w:right="0" w:hanging="283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Dla określenia mrozoodporności betonu należy pobrać przy stanowisku betonowania co najmniej jeden raz w okresie betonowania obiektu oraz każdorazowo przy zmianie składników i sposobu wykonywania betonu po 12 próbek regularnych o minimalnym wymiarze boku lub średnicy próbki 100 mm. Próbki należy przechowywać w warunkach laboratoryjnych i badać w okresie 90 dni zgodnie z normą PN-EN 206</w:t>
      </w:r>
      <w:r w:rsidR="000A7055" w:rsidRPr="003E4273">
        <w:rPr>
          <w:rFonts w:ascii="Lato" w:hAnsi="Lato" w:cs="Arial"/>
          <w:color w:val="auto"/>
          <w:sz w:val="20"/>
          <w:szCs w:val="20"/>
        </w:rPr>
        <w:t>+A2:2021-08</w:t>
      </w:r>
      <w:r w:rsidRPr="003E4273">
        <w:rPr>
          <w:rFonts w:ascii="Lato" w:hAnsi="Lato" w:cs="Arial"/>
          <w:color w:val="auto"/>
          <w:sz w:val="20"/>
          <w:szCs w:val="20"/>
        </w:rPr>
        <w:t>.</w:t>
      </w:r>
    </w:p>
    <w:p w14:paraId="5407321E" w14:textId="7777777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Zaleca się badać mrozoodporność na próbkach wyciętych z konstrukcji.</w:t>
      </w:r>
    </w:p>
    <w:p w14:paraId="331A9924" w14:textId="4D16EBBB" w:rsidR="00163219" w:rsidRPr="003E4273" w:rsidRDefault="002C2B59" w:rsidP="00472E5C">
      <w:pPr>
        <w:spacing w:after="0"/>
        <w:ind w:left="-15" w:right="0" w:firstLine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Przy stosowaniu metody przyśpieszonej wg normy PN-EN 206</w:t>
      </w:r>
      <w:r w:rsidR="000A7055" w:rsidRPr="003E4273">
        <w:rPr>
          <w:rFonts w:ascii="Lato" w:hAnsi="Lato" w:cs="Arial"/>
          <w:color w:val="auto"/>
          <w:sz w:val="20"/>
          <w:szCs w:val="20"/>
        </w:rPr>
        <w:t xml:space="preserve">+A2:2021-08 </w:t>
      </w:r>
      <w:r w:rsidRPr="003E4273">
        <w:rPr>
          <w:rFonts w:ascii="Lato" w:hAnsi="Lato" w:cs="Arial"/>
          <w:color w:val="auto"/>
          <w:sz w:val="20"/>
          <w:szCs w:val="20"/>
        </w:rPr>
        <w:t>liczba próbek reprezentujących daną partię betonu może być zmniejszona do 6, a badanie należy przeprowadzić w okresie 28 dni.</w:t>
      </w:r>
    </w:p>
    <w:p w14:paraId="1E71D7AA" w14:textId="77777777" w:rsidR="00163219" w:rsidRPr="003E4273" w:rsidRDefault="002C2B59" w:rsidP="00472E5C">
      <w:pPr>
        <w:numPr>
          <w:ilvl w:val="2"/>
          <w:numId w:val="16"/>
        </w:numPr>
        <w:spacing w:after="0"/>
        <w:ind w:left="709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Wymagany stopień wodoszczelności sprawdza się, pobierając co najmniej jeden raz w okresie betonowania obiektu oraz każdorazowo przy zmianie składników i sposobu wykonywania betonu po 6 próbek regularnych o grubości nie większej niż 160 mm i minimalnym wymiarze boku lub średnicy 100 mm.</w:t>
      </w:r>
    </w:p>
    <w:p w14:paraId="106B6994" w14:textId="000BAE3E" w:rsidR="00163219" w:rsidRPr="003E4273" w:rsidRDefault="002C2B59" w:rsidP="00472E5C">
      <w:pPr>
        <w:spacing w:after="0"/>
        <w:ind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Próbki przechowywać należy w warunkach laboratoryjnych i badać w okresie 28 dni wg normy PN-EN 206</w:t>
      </w:r>
      <w:r w:rsidR="000A7055" w:rsidRPr="003E4273">
        <w:rPr>
          <w:rFonts w:ascii="Lato" w:hAnsi="Lato" w:cs="Arial"/>
          <w:color w:val="auto"/>
          <w:sz w:val="20"/>
          <w:szCs w:val="20"/>
        </w:rPr>
        <w:t>+A2:2021-08</w:t>
      </w:r>
      <w:r w:rsidRPr="003E4273">
        <w:rPr>
          <w:rFonts w:ascii="Lato" w:hAnsi="Lato" w:cs="Arial"/>
          <w:color w:val="auto"/>
          <w:sz w:val="20"/>
          <w:szCs w:val="20"/>
        </w:rPr>
        <w:t>.</w:t>
      </w:r>
    </w:p>
    <w:p w14:paraId="03BE1DEC" w14:textId="7777777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Dopuszcza się badanie wodoszczelności na próbkach wyciętych z konstrukcji.</w:t>
      </w:r>
    </w:p>
    <w:p w14:paraId="2F8EA154" w14:textId="1C3B790D" w:rsidR="00163219" w:rsidRPr="003E4273" w:rsidRDefault="002C2B59" w:rsidP="00472E5C">
      <w:pPr>
        <w:numPr>
          <w:ilvl w:val="2"/>
          <w:numId w:val="16"/>
        </w:numPr>
        <w:spacing w:after="0"/>
        <w:ind w:left="709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Na Wykonawcy spoczywa obowiązek zapewnienia wykonania badań laboratoryjnych (przez własne laboratoria lub inne uprawnione), a także gromadzenie, przechowywanie i okazywanie Inspektorowi nadzoru wszystkich wyników badań dotyczących jakości betonu i stosowanych materiałów.</w:t>
      </w:r>
    </w:p>
    <w:p w14:paraId="0DCFEF02" w14:textId="77777777" w:rsidR="00163219" w:rsidRPr="003E4273" w:rsidRDefault="002C2B59" w:rsidP="00472E5C">
      <w:pPr>
        <w:numPr>
          <w:ilvl w:val="2"/>
          <w:numId w:val="16"/>
        </w:numPr>
        <w:spacing w:after="0"/>
        <w:ind w:left="709" w:right="0" w:hanging="283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Jeżeli beton poddany jest specjalnym zabiegom technologicznym, należy opracować plan kontroli jakości betonu dostosowany do wymagań technologii produkcji. W planie kontroli powinny być uwzględnione badania przewidziane aktualną normą i niniejszą ST oraz ewentualnie inne, konieczne do potwierdzenia prawidłowości zastosowanych zabiegów technologicznych.</w:t>
      </w:r>
    </w:p>
    <w:p w14:paraId="7D10CAE2" w14:textId="7777777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Badania powinny obejmować:</w:t>
      </w:r>
    </w:p>
    <w:p w14:paraId="13EEDFBC" w14:textId="77777777" w:rsidR="00472E5C" w:rsidRPr="003E4273" w:rsidRDefault="002C2B59" w:rsidP="00191A05">
      <w:pPr>
        <w:numPr>
          <w:ilvl w:val="0"/>
          <w:numId w:val="15"/>
        </w:numPr>
        <w:spacing w:after="0" w:line="224" w:lineRule="auto"/>
        <w:ind w:right="62" w:hanging="64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badanie składników betonu, –</w:t>
      </w:r>
      <w:r w:rsidRPr="003E4273">
        <w:rPr>
          <w:rFonts w:ascii="Lato" w:hAnsi="Lato" w:cs="Arial"/>
          <w:color w:val="auto"/>
          <w:sz w:val="20"/>
          <w:szCs w:val="20"/>
        </w:rPr>
        <w:tab/>
        <w:t>badanie mieszanki betonowej,</w:t>
      </w:r>
    </w:p>
    <w:p w14:paraId="084431EC" w14:textId="6F1C3744" w:rsidR="00163219" w:rsidRPr="003E4273" w:rsidRDefault="002C2B59" w:rsidP="00191A05">
      <w:pPr>
        <w:numPr>
          <w:ilvl w:val="0"/>
          <w:numId w:val="15"/>
        </w:numPr>
        <w:spacing w:after="0" w:line="224" w:lineRule="auto"/>
        <w:ind w:right="62" w:hanging="64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ab/>
        <w:t>badanie betonu.</w:t>
      </w:r>
    </w:p>
    <w:p w14:paraId="3B3BDAEA" w14:textId="44C3E665" w:rsidR="00163219" w:rsidRDefault="002C2B59" w:rsidP="00191A05">
      <w:pPr>
        <w:spacing w:after="0" w:line="248" w:lineRule="auto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Zestawienie wymaganych badań wg PN-EN 206</w:t>
      </w:r>
      <w:r w:rsidR="000A7055" w:rsidRPr="003E4273">
        <w:rPr>
          <w:rFonts w:ascii="Lato" w:hAnsi="Lato" w:cs="Arial"/>
          <w:color w:val="auto"/>
          <w:sz w:val="20"/>
          <w:szCs w:val="20"/>
        </w:rPr>
        <w:t>+A2:2021-08</w:t>
      </w:r>
      <w:r w:rsidRPr="003E4273">
        <w:rPr>
          <w:rFonts w:ascii="Lato" w:hAnsi="Lato" w:cs="Arial"/>
          <w:color w:val="auto"/>
          <w:sz w:val="20"/>
          <w:szCs w:val="20"/>
        </w:rPr>
        <w:t>:</w:t>
      </w:r>
    </w:p>
    <w:p w14:paraId="7B731CD0" w14:textId="77777777" w:rsidR="00CB1389" w:rsidRPr="003E4273" w:rsidRDefault="00CB1389" w:rsidP="00191A05">
      <w:pPr>
        <w:spacing w:after="0" w:line="248" w:lineRule="auto"/>
        <w:ind w:left="-5" w:right="0"/>
        <w:rPr>
          <w:rFonts w:ascii="Lato" w:hAnsi="Lato" w:cs="Arial"/>
          <w:color w:val="auto"/>
          <w:sz w:val="20"/>
          <w:szCs w:val="20"/>
        </w:rPr>
      </w:pPr>
    </w:p>
    <w:tbl>
      <w:tblPr>
        <w:tblStyle w:val="TableGrid"/>
        <w:tblW w:w="9172" w:type="dxa"/>
        <w:tblInd w:w="8" w:type="dxa"/>
        <w:tblCellMar>
          <w:top w:w="39" w:type="dxa"/>
          <w:left w:w="38" w:type="dxa"/>
          <w:bottom w:w="32" w:type="dxa"/>
          <w:right w:w="38" w:type="dxa"/>
        </w:tblCellMar>
        <w:tblLook w:val="04A0" w:firstRow="1" w:lastRow="0" w:firstColumn="1" w:lastColumn="0" w:noHBand="0" w:noVBand="1"/>
      </w:tblPr>
      <w:tblGrid>
        <w:gridCol w:w="1450"/>
        <w:gridCol w:w="2789"/>
        <w:gridCol w:w="2400"/>
        <w:gridCol w:w="2533"/>
      </w:tblGrid>
      <w:tr w:rsidR="00042354" w:rsidRPr="003E4273" w14:paraId="7B8E2D47" w14:textId="77777777">
        <w:trPr>
          <w:trHeight w:val="586"/>
        </w:trPr>
        <w:tc>
          <w:tcPr>
            <w:tcW w:w="1450" w:type="dxa"/>
            <w:tcBorders>
              <w:top w:val="single" w:sz="7" w:space="0" w:color="000000"/>
              <w:left w:val="single" w:sz="7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</w:tcPr>
          <w:p w14:paraId="024A14FC" w14:textId="77777777" w:rsidR="00163219" w:rsidRPr="003E4273" w:rsidRDefault="0016321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single" w:sz="7" w:space="0" w:color="000000"/>
              <w:left w:val="single" w:sz="8" w:space="0" w:color="000000"/>
              <w:bottom w:val="single" w:sz="8" w:space="0" w:color="7F7F7F"/>
              <w:right w:val="single" w:sz="8" w:space="0" w:color="7F7F7F"/>
            </w:tcBorders>
            <w:shd w:val="clear" w:color="auto" w:fill="B3B3B3"/>
            <w:vAlign w:val="center"/>
          </w:tcPr>
          <w:p w14:paraId="6F13B015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center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Rodzaj badania</w:t>
            </w:r>
          </w:p>
        </w:tc>
        <w:tc>
          <w:tcPr>
            <w:tcW w:w="2400" w:type="dxa"/>
            <w:tcBorders>
              <w:top w:val="single" w:sz="7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B3B3B3"/>
          </w:tcPr>
          <w:p w14:paraId="6156F9BC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center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Metoda badania według</w:t>
            </w:r>
          </w:p>
        </w:tc>
        <w:tc>
          <w:tcPr>
            <w:tcW w:w="2533" w:type="dxa"/>
            <w:tcBorders>
              <w:top w:val="single" w:sz="7" w:space="0" w:color="7F7F7F"/>
              <w:left w:val="single" w:sz="8" w:space="0" w:color="7F7F7F"/>
              <w:bottom w:val="single" w:sz="8" w:space="0" w:color="7F7F7F"/>
              <w:right w:val="single" w:sz="7" w:space="0" w:color="000000"/>
            </w:tcBorders>
            <w:shd w:val="clear" w:color="auto" w:fill="B3B3B3"/>
          </w:tcPr>
          <w:p w14:paraId="60B785A0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center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Termin lub częstość badania</w:t>
            </w:r>
          </w:p>
        </w:tc>
      </w:tr>
      <w:tr w:rsidR="00042354" w:rsidRPr="003E4273" w14:paraId="636C5132" w14:textId="77777777">
        <w:trPr>
          <w:trHeight w:val="1555"/>
        </w:trPr>
        <w:tc>
          <w:tcPr>
            <w:tcW w:w="1450" w:type="dxa"/>
            <w:vMerge w:val="restart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  <w:shd w:val="clear" w:color="auto" w:fill="D9D9D9"/>
          </w:tcPr>
          <w:p w14:paraId="186BFB0D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SKŁADNIKI BETONU</w:t>
            </w:r>
          </w:p>
        </w:tc>
        <w:tc>
          <w:tcPr>
            <w:tcW w:w="2789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7F7F7F"/>
            </w:tcBorders>
          </w:tcPr>
          <w:p w14:paraId="018AD7C0" w14:textId="77777777" w:rsidR="00163219" w:rsidRPr="003E4273" w:rsidRDefault="002C2B59" w:rsidP="00191A05">
            <w:pPr>
              <w:spacing w:after="0" w:line="259" w:lineRule="auto"/>
              <w:ind w:left="1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1) Badanie cementu</w:t>
            </w:r>
          </w:p>
          <w:p w14:paraId="468392CD" w14:textId="77777777" w:rsidR="00163219" w:rsidRPr="003E4273" w:rsidRDefault="002C2B59" w:rsidP="00191A05">
            <w:pPr>
              <w:numPr>
                <w:ilvl w:val="0"/>
                <w:numId w:val="23"/>
              </w:numPr>
              <w:spacing w:after="0" w:line="259" w:lineRule="auto"/>
              <w:ind w:right="0" w:hanging="36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czasu wiązania</w:t>
            </w:r>
          </w:p>
          <w:p w14:paraId="40A3A933" w14:textId="77777777" w:rsidR="00163219" w:rsidRPr="003E4273" w:rsidRDefault="002C2B59" w:rsidP="00191A05">
            <w:pPr>
              <w:numPr>
                <w:ilvl w:val="0"/>
                <w:numId w:val="23"/>
              </w:numPr>
              <w:spacing w:after="0" w:line="259" w:lineRule="auto"/>
              <w:ind w:right="0" w:hanging="36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stałość objętości</w:t>
            </w:r>
          </w:p>
          <w:p w14:paraId="619EEFF4" w14:textId="77777777" w:rsidR="00163219" w:rsidRPr="003E4273" w:rsidRDefault="002C2B59" w:rsidP="00191A05">
            <w:pPr>
              <w:numPr>
                <w:ilvl w:val="0"/>
                <w:numId w:val="23"/>
              </w:numPr>
              <w:spacing w:after="0" w:line="259" w:lineRule="auto"/>
              <w:ind w:right="0" w:hanging="36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obecności grudek</w:t>
            </w:r>
          </w:p>
          <w:p w14:paraId="29684918" w14:textId="77777777" w:rsidR="00163219" w:rsidRPr="003E4273" w:rsidRDefault="002C2B59" w:rsidP="00191A05">
            <w:pPr>
              <w:numPr>
                <w:ilvl w:val="0"/>
                <w:numId w:val="23"/>
              </w:numPr>
              <w:spacing w:after="0" w:line="259" w:lineRule="auto"/>
              <w:ind w:right="0" w:hanging="36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wytrzymałości</w:t>
            </w:r>
          </w:p>
        </w:tc>
        <w:tc>
          <w:tcPr>
            <w:tcW w:w="2400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vAlign w:val="bottom"/>
          </w:tcPr>
          <w:p w14:paraId="20C8F550" w14:textId="6542A949" w:rsidR="00163219" w:rsidRPr="003E4273" w:rsidRDefault="002C2B59" w:rsidP="00191A05">
            <w:pPr>
              <w:spacing w:after="0" w:line="220" w:lineRule="auto"/>
              <w:ind w:left="1028" w:right="192" w:hanging="1027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PN-EN 196-3:2</w:t>
            </w:r>
            <w:r w:rsidR="004448A7" w:rsidRPr="003E4273">
              <w:rPr>
                <w:rFonts w:ascii="Lato" w:hAnsi="Lato" w:cs="Arial"/>
                <w:color w:val="auto"/>
                <w:sz w:val="20"/>
                <w:szCs w:val="20"/>
              </w:rPr>
              <w:t>016-12</w:t>
            </w:r>
          </w:p>
          <w:p w14:paraId="5877BE80" w14:textId="75FB3CA4" w:rsidR="00163219" w:rsidRPr="003E4273" w:rsidRDefault="002C2B59" w:rsidP="00191A05">
            <w:pPr>
              <w:spacing w:after="0" w:line="259" w:lineRule="auto"/>
              <w:ind w:left="1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PN-EN 196-</w:t>
            </w:r>
            <w:r w:rsidR="004448A7" w:rsidRPr="003E4273">
              <w:rPr>
                <w:rFonts w:ascii="Lato" w:hAnsi="Lato" w:cs="Arial"/>
                <w:color w:val="auto"/>
                <w:sz w:val="20"/>
                <w:szCs w:val="20"/>
              </w:rPr>
              <w:t>3:2016-12</w:t>
            </w:r>
          </w:p>
          <w:p w14:paraId="04D4166F" w14:textId="77777777" w:rsidR="00163219" w:rsidRPr="003E4273" w:rsidRDefault="002C2B59" w:rsidP="00191A05">
            <w:pPr>
              <w:spacing w:after="0" w:line="259" w:lineRule="auto"/>
              <w:ind w:left="1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PN-EN 196-6:1997</w:t>
            </w:r>
          </w:p>
          <w:p w14:paraId="576D634F" w14:textId="5B4632A2" w:rsidR="00163219" w:rsidRPr="003E4273" w:rsidRDefault="002C2B59" w:rsidP="00191A05">
            <w:pPr>
              <w:spacing w:after="0" w:line="259" w:lineRule="auto"/>
              <w:ind w:left="1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PN-EN 196-1:20</w:t>
            </w:r>
            <w:r w:rsidR="00185B12" w:rsidRPr="003E4273">
              <w:rPr>
                <w:rFonts w:ascii="Lato" w:hAnsi="Lato" w:cs="Arial"/>
                <w:color w:val="auto"/>
                <w:sz w:val="20"/>
                <w:szCs w:val="20"/>
              </w:rPr>
              <w:t>1</w:t>
            </w: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6</w:t>
            </w:r>
            <w:r w:rsidR="00185B12" w:rsidRPr="003E4273">
              <w:rPr>
                <w:rFonts w:ascii="Lato" w:hAnsi="Lato" w:cs="Arial"/>
                <w:color w:val="auto"/>
                <w:sz w:val="20"/>
                <w:szCs w:val="20"/>
              </w:rPr>
              <w:t>-07</w:t>
            </w:r>
          </w:p>
        </w:tc>
        <w:tc>
          <w:tcPr>
            <w:tcW w:w="2533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7" w:space="0" w:color="000000"/>
            </w:tcBorders>
          </w:tcPr>
          <w:p w14:paraId="1A87B660" w14:textId="77777777" w:rsidR="00163219" w:rsidRPr="003E4273" w:rsidRDefault="002C2B59" w:rsidP="00191A05">
            <w:pPr>
              <w:spacing w:after="0" w:line="259" w:lineRule="auto"/>
              <w:ind w:left="1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Bezpośrednio przed użyciem każdej dostarczonej partii</w:t>
            </w:r>
          </w:p>
        </w:tc>
      </w:tr>
      <w:tr w:rsidR="00042354" w:rsidRPr="003E4273" w14:paraId="021740B1" w14:textId="77777777">
        <w:trPr>
          <w:trHeight w:val="2052"/>
        </w:trPr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8" w:space="0" w:color="000000"/>
            </w:tcBorders>
          </w:tcPr>
          <w:p w14:paraId="4D73E094" w14:textId="77777777" w:rsidR="00163219" w:rsidRPr="003E4273" w:rsidRDefault="0016321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7F7F7F"/>
            </w:tcBorders>
          </w:tcPr>
          <w:p w14:paraId="717B5971" w14:textId="77777777" w:rsidR="00163219" w:rsidRPr="003E4273" w:rsidRDefault="002C2B59" w:rsidP="00191A05">
            <w:pPr>
              <w:spacing w:after="0" w:line="259" w:lineRule="auto"/>
              <w:ind w:left="1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2) Badanie kruszywa</w:t>
            </w:r>
          </w:p>
          <w:p w14:paraId="24232F6D" w14:textId="77777777" w:rsidR="00163219" w:rsidRPr="003E4273" w:rsidRDefault="002C2B59" w:rsidP="00191A05">
            <w:pPr>
              <w:numPr>
                <w:ilvl w:val="0"/>
                <w:numId w:val="24"/>
              </w:numPr>
              <w:spacing w:after="0" w:line="259" w:lineRule="auto"/>
              <w:ind w:right="0" w:hanging="36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składu ziarnowego</w:t>
            </w:r>
          </w:p>
          <w:p w14:paraId="74DF274F" w14:textId="77777777" w:rsidR="00163219" w:rsidRPr="003E4273" w:rsidRDefault="002C2B59" w:rsidP="00191A05">
            <w:pPr>
              <w:numPr>
                <w:ilvl w:val="0"/>
                <w:numId w:val="24"/>
              </w:numPr>
              <w:spacing w:after="0" w:line="259" w:lineRule="auto"/>
              <w:ind w:right="0" w:hanging="36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kształtu ziaren</w:t>
            </w:r>
          </w:p>
          <w:p w14:paraId="2FF4032D" w14:textId="77777777" w:rsidR="00163219" w:rsidRPr="003E4273" w:rsidRDefault="002C2B59" w:rsidP="00191A05">
            <w:pPr>
              <w:numPr>
                <w:ilvl w:val="0"/>
                <w:numId w:val="24"/>
              </w:numPr>
              <w:spacing w:after="0" w:line="259" w:lineRule="auto"/>
              <w:ind w:right="0" w:hanging="36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zawartości pyłów</w:t>
            </w:r>
          </w:p>
          <w:p w14:paraId="3F2AAA64" w14:textId="77777777" w:rsidR="00163219" w:rsidRPr="003E4273" w:rsidRDefault="002C2B59" w:rsidP="00191A05">
            <w:pPr>
              <w:numPr>
                <w:ilvl w:val="0"/>
                <w:numId w:val="24"/>
              </w:numPr>
              <w:spacing w:after="0" w:line="236" w:lineRule="auto"/>
              <w:ind w:right="0" w:hanging="36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zawartości zanieczyszczeń</w:t>
            </w:r>
          </w:p>
          <w:p w14:paraId="62D79E62" w14:textId="77777777" w:rsidR="00163219" w:rsidRPr="003E4273" w:rsidRDefault="002C2B59" w:rsidP="00191A05">
            <w:pPr>
              <w:numPr>
                <w:ilvl w:val="0"/>
                <w:numId w:val="24"/>
              </w:numPr>
              <w:spacing w:after="0" w:line="259" w:lineRule="auto"/>
              <w:ind w:right="0" w:hanging="36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wilgotności</w:t>
            </w:r>
          </w:p>
        </w:tc>
        <w:tc>
          <w:tcPr>
            <w:tcW w:w="2400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vAlign w:val="bottom"/>
          </w:tcPr>
          <w:p w14:paraId="04E41090" w14:textId="09CA8BC1" w:rsidR="00163219" w:rsidRPr="003E4273" w:rsidRDefault="002C2B59" w:rsidP="00191A05">
            <w:pPr>
              <w:spacing w:after="0" w:line="259" w:lineRule="auto"/>
              <w:ind w:left="1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PN-EN 933-1:20</w:t>
            </w:r>
            <w:r w:rsidR="00457E83" w:rsidRPr="003E4273">
              <w:rPr>
                <w:rFonts w:ascii="Lato" w:hAnsi="Lato" w:cs="Arial"/>
                <w:color w:val="auto"/>
                <w:sz w:val="20"/>
                <w:szCs w:val="20"/>
              </w:rPr>
              <w:t>12</w:t>
            </w:r>
          </w:p>
          <w:p w14:paraId="3C5C1A90" w14:textId="157D17FD" w:rsidR="00163219" w:rsidRPr="003E4273" w:rsidRDefault="002C2B59" w:rsidP="00191A05">
            <w:pPr>
              <w:spacing w:after="0" w:line="259" w:lineRule="auto"/>
              <w:ind w:left="1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PN-EN 933-</w:t>
            </w:r>
            <w:r w:rsidR="00457E83" w:rsidRPr="003E4273">
              <w:rPr>
                <w:rFonts w:ascii="Lato" w:hAnsi="Lato" w:cs="Arial"/>
                <w:color w:val="auto"/>
                <w:sz w:val="20"/>
                <w:szCs w:val="20"/>
              </w:rPr>
              <w:t>2:2021-01</w:t>
            </w:r>
          </w:p>
          <w:p w14:paraId="3473CD45" w14:textId="72EEAB56" w:rsidR="00163219" w:rsidRPr="003E4273" w:rsidRDefault="002C2B59" w:rsidP="00191A05">
            <w:pPr>
              <w:spacing w:after="0" w:line="259" w:lineRule="auto"/>
              <w:ind w:left="1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PN-EN 933-</w:t>
            </w:r>
            <w:r w:rsidR="00457E83" w:rsidRPr="003E4273">
              <w:rPr>
                <w:rFonts w:ascii="Lato" w:hAnsi="Lato" w:cs="Arial"/>
                <w:color w:val="auto"/>
                <w:sz w:val="20"/>
                <w:szCs w:val="20"/>
              </w:rPr>
              <w:t>3:2012</w:t>
            </w:r>
          </w:p>
          <w:p w14:paraId="5996AA6E" w14:textId="7DBFE8EA" w:rsidR="00163219" w:rsidRPr="003E4273" w:rsidRDefault="002C2B59" w:rsidP="00191A05">
            <w:pPr>
              <w:spacing w:after="0" w:line="259" w:lineRule="auto"/>
              <w:ind w:left="1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PN-EN 933-</w:t>
            </w:r>
            <w:r w:rsidR="00457E83" w:rsidRPr="003E4273">
              <w:rPr>
                <w:rFonts w:ascii="Lato" w:hAnsi="Lato" w:cs="Arial"/>
                <w:color w:val="auto"/>
                <w:sz w:val="20"/>
                <w:szCs w:val="20"/>
              </w:rPr>
              <w:t>4:2008</w:t>
            </w:r>
          </w:p>
          <w:p w14:paraId="04151A0D" w14:textId="45F2F3EE" w:rsidR="00163219" w:rsidRPr="003E4273" w:rsidRDefault="002C2B59" w:rsidP="00191A05">
            <w:pPr>
              <w:spacing w:after="0" w:line="259" w:lineRule="auto"/>
              <w:ind w:left="1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PN-EN 933-</w:t>
            </w:r>
            <w:r w:rsidR="00457E83" w:rsidRPr="003E4273">
              <w:rPr>
                <w:rFonts w:ascii="Lato" w:hAnsi="Lato" w:cs="Arial"/>
                <w:color w:val="auto"/>
                <w:sz w:val="20"/>
                <w:szCs w:val="20"/>
              </w:rPr>
              <w:t>5:2023-05</w:t>
            </w:r>
          </w:p>
          <w:p w14:paraId="38952144" w14:textId="0D0354C0" w:rsidR="00163219" w:rsidRPr="003E4273" w:rsidRDefault="002C2B59" w:rsidP="00191A05">
            <w:pPr>
              <w:spacing w:after="0" w:line="259" w:lineRule="auto"/>
              <w:ind w:left="1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PN-EN 1097-6:</w:t>
            </w:r>
            <w:r w:rsidR="00457E83" w:rsidRPr="003E4273">
              <w:rPr>
                <w:rFonts w:ascii="Lato" w:hAnsi="Lato" w:cs="Arial"/>
                <w:color w:val="auto"/>
                <w:sz w:val="20"/>
                <w:szCs w:val="20"/>
              </w:rPr>
              <w:t>2023-06</w:t>
            </w:r>
          </w:p>
        </w:tc>
        <w:tc>
          <w:tcPr>
            <w:tcW w:w="2533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7" w:space="0" w:color="000000"/>
            </w:tcBorders>
          </w:tcPr>
          <w:p w14:paraId="4C29FE8D" w14:textId="77777777" w:rsidR="00163219" w:rsidRPr="003E4273" w:rsidRDefault="002C2B59" w:rsidP="00191A05">
            <w:pPr>
              <w:spacing w:after="0" w:line="259" w:lineRule="auto"/>
              <w:ind w:left="4" w:right="0" w:firstLine="0"/>
              <w:jc w:val="center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jw.</w:t>
            </w:r>
          </w:p>
        </w:tc>
      </w:tr>
      <w:tr w:rsidR="00042354" w:rsidRPr="003E4273" w14:paraId="7DFC9EB7" w14:textId="77777777">
        <w:trPr>
          <w:trHeight w:val="1063"/>
        </w:trPr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8" w:space="0" w:color="000000"/>
            </w:tcBorders>
          </w:tcPr>
          <w:p w14:paraId="51197521" w14:textId="77777777" w:rsidR="00163219" w:rsidRPr="003E4273" w:rsidRDefault="0016321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7F7F7F"/>
            </w:tcBorders>
          </w:tcPr>
          <w:p w14:paraId="58AF60FC" w14:textId="77777777" w:rsidR="00163219" w:rsidRPr="003E4273" w:rsidRDefault="002C2B59" w:rsidP="00191A05">
            <w:pPr>
              <w:spacing w:after="0" w:line="259" w:lineRule="auto"/>
              <w:ind w:left="1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3) Badanie wody</w:t>
            </w:r>
          </w:p>
        </w:tc>
        <w:tc>
          <w:tcPr>
            <w:tcW w:w="2400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</w:tcPr>
          <w:p w14:paraId="5B2886E7" w14:textId="77777777" w:rsidR="00163219" w:rsidRPr="003E4273" w:rsidRDefault="002C2B59" w:rsidP="00191A05">
            <w:pPr>
              <w:spacing w:after="0" w:line="259" w:lineRule="auto"/>
              <w:ind w:left="1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PN-EN 1008-1:2004</w:t>
            </w:r>
          </w:p>
        </w:tc>
        <w:tc>
          <w:tcPr>
            <w:tcW w:w="2533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7" w:space="0" w:color="000000"/>
            </w:tcBorders>
          </w:tcPr>
          <w:p w14:paraId="3CCC2036" w14:textId="77777777" w:rsidR="00163219" w:rsidRPr="003E4273" w:rsidRDefault="002C2B59" w:rsidP="00191A05">
            <w:pPr>
              <w:spacing w:after="0" w:line="259" w:lineRule="auto"/>
              <w:ind w:left="1" w:right="3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Przy rozpoczęciu robót i w przypadku stwierdzenia zanieczyszczenia</w:t>
            </w:r>
          </w:p>
        </w:tc>
      </w:tr>
      <w:tr w:rsidR="00042354" w:rsidRPr="003E4273" w14:paraId="1F871CF7" w14:textId="77777777">
        <w:trPr>
          <w:trHeight w:val="572"/>
        </w:trPr>
        <w:tc>
          <w:tcPr>
            <w:tcW w:w="0" w:type="auto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14:paraId="5F61D049" w14:textId="77777777" w:rsidR="00163219" w:rsidRPr="003E4273" w:rsidRDefault="0016321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7F7F7F"/>
            </w:tcBorders>
          </w:tcPr>
          <w:p w14:paraId="46805976" w14:textId="77777777" w:rsidR="00163219" w:rsidRPr="003E4273" w:rsidRDefault="002C2B59" w:rsidP="00191A05">
            <w:pPr>
              <w:spacing w:after="0" w:line="259" w:lineRule="auto"/>
              <w:ind w:left="255" w:right="0" w:hanging="254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4) Badanie dodatków i domieszek</w:t>
            </w:r>
          </w:p>
        </w:tc>
        <w:tc>
          <w:tcPr>
            <w:tcW w:w="2400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</w:tcPr>
          <w:p w14:paraId="44F4CEA5" w14:textId="77777777" w:rsidR="00163219" w:rsidRPr="003E4273" w:rsidRDefault="002C2B59" w:rsidP="00191A05">
            <w:pPr>
              <w:spacing w:after="0" w:line="259" w:lineRule="auto"/>
              <w:ind w:left="1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PN-EN 480 i Aprobata Techniczna</w:t>
            </w:r>
          </w:p>
        </w:tc>
        <w:tc>
          <w:tcPr>
            <w:tcW w:w="2533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7" w:space="0" w:color="000000"/>
            </w:tcBorders>
          </w:tcPr>
          <w:p w14:paraId="7EA8746B" w14:textId="77777777" w:rsidR="00163219" w:rsidRPr="003E4273" w:rsidRDefault="0016321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</w:p>
        </w:tc>
      </w:tr>
      <w:tr w:rsidR="00042354" w:rsidRPr="003E4273" w14:paraId="7AA272B5" w14:textId="77777777">
        <w:trPr>
          <w:trHeight w:val="319"/>
        </w:trPr>
        <w:tc>
          <w:tcPr>
            <w:tcW w:w="1450" w:type="dxa"/>
            <w:vMerge w:val="restart"/>
            <w:tcBorders>
              <w:top w:val="single" w:sz="7" w:space="0" w:color="000000"/>
              <w:left w:val="single" w:sz="7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1D6EFF62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MIESZANKA BETONOWA</w:t>
            </w:r>
          </w:p>
        </w:tc>
        <w:tc>
          <w:tcPr>
            <w:tcW w:w="2789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7F7F7F"/>
            </w:tcBorders>
          </w:tcPr>
          <w:p w14:paraId="4648094D" w14:textId="77777777" w:rsidR="00163219" w:rsidRPr="003E4273" w:rsidRDefault="002C2B59" w:rsidP="00191A05">
            <w:pPr>
              <w:spacing w:after="0" w:line="259" w:lineRule="auto"/>
              <w:ind w:left="1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Urabialność</w:t>
            </w:r>
          </w:p>
        </w:tc>
        <w:tc>
          <w:tcPr>
            <w:tcW w:w="2400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</w:tcPr>
          <w:p w14:paraId="54999960" w14:textId="7F93C9D0" w:rsidR="00163219" w:rsidRPr="003E4273" w:rsidRDefault="000A7055" w:rsidP="00191A05">
            <w:pPr>
              <w:spacing w:after="0" w:line="259" w:lineRule="auto"/>
              <w:ind w:left="1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PN-EN 206+A2:2021-08</w:t>
            </w:r>
          </w:p>
        </w:tc>
        <w:tc>
          <w:tcPr>
            <w:tcW w:w="2533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7" w:space="0" w:color="000000"/>
            </w:tcBorders>
          </w:tcPr>
          <w:p w14:paraId="239DDFE1" w14:textId="77777777" w:rsidR="00163219" w:rsidRPr="003E4273" w:rsidRDefault="002C2B59" w:rsidP="00191A05">
            <w:pPr>
              <w:spacing w:after="0" w:line="259" w:lineRule="auto"/>
              <w:ind w:left="1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Przy rozpoczęciu robót</w:t>
            </w:r>
          </w:p>
        </w:tc>
      </w:tr>
      <w:tr w:rsidR="00042354" w:rsidRPr="003E4273" w14:paraId="0D9EB0B8" w14:textId="77777777">
        <w:trPr>
          <w:trHeight w:val="816"/>
        </w:trPr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8" w:space="0" w:color="000000"/>
            </w:tcBorders>
          </w:tcPr>
          <w:p w14:paraId="45177DE5" w14:textId="77777777" w:rsidR="00163219" w:rsidRPr="003E4273" w:rsidRDefault="0016321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7F7F7F"/>
            </w:tcBorders>
          </w:tcPr>
          <w:p w14:paraId="314582A6" w14:textId="77777777" w:rsidR="00163219" w:rsidRPr="003E4273" w:rsidRDefault="002C2B59" w:rsidP="00191A05">
            <w:pPr>
              <w:spacing w:after="0" w:line="259" w:lineRule="auto"/>
              <w:ind w:left="1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Konsystencja</w:t>
            </w:r>
          </w:p>
        </w:tc>
        <w:tc>
          <w:tcPr>
            <w:tcW w:w="2400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</w:tcPr>
          <w:p w14:paraId="52B1E695" w14:textId="77777777" w:rsidR="00163219" w:rsidRPr="003E4273" w:rsidRDefault="002C2B59" w:rsidP="00191A05">
            <w:pPr>
              <w:spacing w:after="0" w:line="259" w:lineRule="auto"/>
              <w:ind w:left="2" w:right="0" w:firstLine="0"/>
              <w:jc w:val="center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jw.</w:t>
            </w:r>
          </w:p>
        </w:tc>
        <w:tc>
          <w:tcPr>
            <w:tcW w:w="2533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7" w:space="0" w:color="000000"/>
            </w:tcBorders>
          </w:tcPr>
          <w:p w14:paraId="0DE7B886" w14:textId="77777777" w:rsidR="00163219" w:rsidRPr="003E4273" w:rsidRDefault="002C2B59" w:rsidP="00191A05">
            <w:pPr>
              <w:spacing w:after="0" w:line="259" w:lineRule="auto"/>
              <w:ind w:left="1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Przy projektowaniu recepty i 2 razy na zmianę roboczą</w:t>
            </w:r>
          </w:p>
        </w:tc>
      </w:tr>
      <w:tr w:rsidR="00042354" w:rsidRPr="003E4273" w14:paraId="7A4B5C5B" w14:textId="77777777">
        <w:trPr>
          <w:trHeight w:val="324"/>
        </w:trPr>
        <w:tc>
          <w:tcPr>
            <w:tcW w:w="0" w:type="auto"/>
            <w:vMerge/>
            <w:tcBorders>
              <w:top w:val="nil"/>
              <w:left w:val="single" w:sz="7" w:space="0" w:color="000000"/>
              <w:bottom w:val="single" w:sz="8" w:space="0" w:color="000000"/>
              <w:right w:val="single" w:sz="8" w:space="0" w:color="000000"/>
            </w:tcBorders>
          </w:tcPr>
          <w:p w14:paraId="1BEE33A0" w14:textId="77777777" w:rsidR="00163219" w:rsidRPr="003E4273" w:rsidRDefault="0016321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7F7F7F"/>
            </w:tcBorders>
          </w:tcPr>
          <w:p w14:paraId="1C3F3E1F" w14:textId="77777777" w:rsidR="00163219" w:rsidRPr="003E4273" w:rsidRDefault="002C2B59" w:rsidP="00191A05">
            <w:pPr>
              <w:spacing w:after="0" w:line="259" w:lineRule="auto"/>
              <w:ind w:left="1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Zawartość powietrza</w:t>
            </w:r>
          </w:p>
        </w:tc>
        <w:tc>
          <w:tcPr>
            <w:tcW w:w="2400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</w:tcPr>
          <w:p w14:paraId="413ED931" w14:textId="77777777" w:rsidR="00163219" w:rsidRPr="003E4273" w:rsidRDefault="002C2B59" w:rsidP="00191A05">
            <w:pPr>
              <w:spacing w:after="0" w:line="259" w:lineRule="auto"/>
              <w:ind w:left="2" w:right="0" w:firstLine="0"/>
              <w:jc w:val="center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jw.</w:t>
            </w:r>
          </w:p>
        </w:tc>
        <w:tc>
          <w:tcPr>
            <w:tcW w:w="2533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7" w:space="0" w:color="000000"/>
            </w:tcBorders>
          </w:tcPr>
          <w:p w14:paraId="231F13E7" w14:textId="77777777" w:rsidR="00163219" w:rsidRPr="003E4273" w:rsidRDefault="002C2B59" w:rsidP="00191A05">
            <w:pPr>
              <w:spacing w:after="0" w:line="259" w:lineRule="auto"/>
              <w:ind w:left="4" w:right="0" w:firstLine="0"/>
              <w:jc w:val="center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jw.</w:t>
            </w:r>
          </w:p>
        </w:tc>
      </w:tr>
      <w:tr w:rsidR="00042354" w:rsidRPr="003E4273" w14:paraId="12656A02" w14:textId="77777777">
        <w:trPr>
          <w:trHeight w:val="814"/>
        </w:trPr>
        <w:tc>
          <w:tcPr>
            <w:tcW w:w="1450" w:type="dxa"/>
            <w:vMerge w:val="restart"/>
            <w:tcBorders>
              <w:top w:val="single" w:sz="8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  <w:shd w:val="clear" w:color="auto" w:fill="D9D9D9"/>
          </w:tcPr>
          <w:p w14:paraId="38230E4A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BETON</w:t>
            </w:r>
          </w:p>
        </w:tc>
        <w:tc>
          <w:tcPr>
            <w:tcW w:w="2789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7F7F7F"/>
            </w:tcBorders>
          </w:tcPr>
          <w:p w14:paraId="33E7F0D8" w14:textId="77777777" w:rsidR="00163219" w:rsidRPr="003E4273" w:rsidRDefault="002C2B59" w:rsidP="00191A05">
            <w:pPr>
              <w:spacing w:after="0" w:line="259" w:lineRule="auto"/>
              <w:ind w:left="255" w:right="0" w:hanging="254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1) Wytrzymałość na ściskanie na próbkach</w:t>
            </w:r>
          </w:p>
        </w:tc>
        <w:tc>
          <w:tcPr>
            <w:tcW w:w="2400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</w:tcPr>
          <w:p w14:paraId="640F5EA4" w14:textId="77777777" w:rsidR="00163219" w:rsidRPr="003E4273" w:rsidRDefault="002C2B59" w:rsidP="00191A05">
            <w:pPr>
              <w:spacing w:after="0" w:line="259" w:lineRule="auto"/>
              <w:ind w:left="2" w:right="0" w:firstLine="0"/>
              <w:jc w:val="center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jw.</w:t>
            </w:r>
          </w:p>
        </w:tc>
        <w:tc>
          <w:tcPr>
            <w:tcW w:w="2533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7" w:space="0" w:color="000000"/>
            </w:tcBorders>
          </w:tcPr>
          <w:p w14:paraId="3CAEA10E" w14:textId="77777777" w:rsidR="00163219" w:rsidRPr="003E4273" w:rsidRDefault="002C2B59" w:rsidP="00191A05">
            <w:pPr>
              <w:spacing w:after="0" w:line="259" w:lineRule="auto"/>
              <w:ind w:left="1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Po ustaleniu recepty i po wykonaniu każdej partii betonu</w:t>
            </w:r>
          </w:p>
        </w:tc>
      </w:tr>
      <w:tr w:rsidR="00042354" w:rsidRPr="003E4273" w14:paraId="4BFDF9CE" w14:textId="77777777">
        <w:trPr>
          <w:trHeight w:val="816"/>
        </w:trPr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8" w:space="0" w:color="000000"/>
            </w:tcBorders>
          </w:tcPr>
          <w:p w14:paraId="57A092FC" w14:textId="77777777" w:rsidR="00163219" w:rsidRPr="003E4273" w:rsidRDefault="0016321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single" w:sz="8" w:space="0" w:color="7F7F7F"/>
              <w:left w:val="single" w:sz="8" w:space="0" w:color="000000"/>
              <w:bottom w:val="single" w:sz="8" w:space="0" w:color="7F7F7F"/>
              <w:right w:val="single" w:sz="8" w:space="0" w:color="7F7F7F"/>
            </w:tcBorders>
          </w:tcPr>
          <w:p w14:paraId="4633B998" w14:textId="77777777" w:rsidR="00163219" w:rsidRPr="003E4273" w:rsidRDefault="002C2B59" w:rsidP="00191A05">
            <w:pPr>
              <w:spacing w:after="0" w:line="259" w:lineRule="auto"/>
              <w:ind w:left="255" w:right="459" w:hanging="254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2) Wytrzymałość na ściskanie  – badania nieniszczące</w:t>
            </w:r>
          </w:p>
        </w:tc>
        <w:tc>
          <w:tcPr>
            <w:tcW w:w="2400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</w:tcPr>
          <w:p w14:paraId="4963D336" w14:textId="288743CA" w:rsidR="00163219" w:rsidRPr="003E4273" w:rsidRDefault="002A55DC" w:rsidP="002A55DC">
            <w:pPr>
              <w:spacing w:after="0" w:line="259" w:lineRule="auto"/>
              <w:ind w:right="732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 xml:space="preserve">                        jw.</w:t>
            </w:r>
          </w:p>
        </w:tc>
        <w:tc>
          <w:tcPr>
            <w:tcW w:w="2533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7" w:space="0" w:color="000000"/>
            </w:tcBorders>
          </w:tcPr>
          <w:p w14:paraId="15AA940A" w14:textId="77777777" w:rsidR="00163219" w:rsidRPr="003E4273" w:rsidRDefault="002C2B59" w:rsidP="00191A05">
            <w:pPr>
              <w:spacing w:after="0" w:line="259" w:lineRule="auto"/>
              <w:ind w:left="1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W przypadkach technicznie uzasadnionych</w:t>
            </w:r>
          </w:p>
        </w:tc>
      </w:tr>
      <w:tr w:rsidR="00042354" w:rsidRPr="003E4273" w14:paraId="785BB28E" w14:textId="77777777">
        <w:trPr>
          <w:trHeight w:val="1064"/>
        </w:trPr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8" w:space="0" w:color="000000"/>
            </w:tcBorders>
          </w:tcPr>
          <w:p w14:paraId="69653A30" w14:textId="77777777" w:rsidR="00163219" w:rsidRPr="003E4273" w:rsidRDefault="0016321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single" w:sz="8" w:space="0" w:color="7F7F7F"/>
              <w:left w:val="single" w:sz="8" w:space="0" w:color="000000"/>
              <w:bottom w:val="single" w:sz="9" w:space="0" w:color="7F7F7F"/>
              <w:right w:val="single" w:sz="8" w:space="0" w:color="7F7F7F"/>
            </w:tcBorders>
          </w:tcPr>
          <w:p w14:paraId="6B7621EB" w14:textId="77777777" w:rsidR="00163219" w:rsidRPr="003E4273" w:rsidRDefault="002C2B59" w:rsidP="00191A05">
            <w:pPr>
              <w:spacing w:after="0" w:line="259" w:lineRule="auto"/>
              <w:ind w:left="1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3) Nasiąkliwość</w:t>
            </w:r>
          </w:p>
        </w:tc>
        <w:tc>
          <w:tcPr>
            <w:tcW w:w="2400" w:type="dxa"/>
            <w:tcBorders>
              <w:top w:val="single" w:sz="8" w:space="0" w:color="7F7F7F"/>
              <w:left w:val="single" w:sz="8" w:space="0" w:color="7F7F7F"/>
              <w:bottom w:val="single" w:sz="9" w:space="0" w:color="7F7F7F"/>
              <w:right w:val="single" w:sz="8" w:space="0" w:color="7F7F7F"/>
            </w:tcBorders>
          </w:tcPr>
          <w:p w14:paraId="2E003673" w14:textId="5FE54339" w:rsidR="00163219" w:rsidRPr="003E4273" w:rsidRDefault="002C2B59" w:rsidP="00191A05">
            <w:pPr>
              <w:spacing w:after="0" w:line="259" w:lineRule="auto"/>
              <w:ind w:left="1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PN-EN 206</w:t>
            </w:r>
            <w:r w:rsidR="000A7055" w:rsidRPr="003E4273">
              <w:rPr>
                <w:rFonts w:ascii="Lato" w:hAnsi="Lato" w:cs="Arial"/>
                <w:color w:val="auto"/>
                <w:sz w:val="20"/>
                <w:szCs w:val="20"/>
              </w:rPr>
              <w:t>+A2:2021-08</w:t>
            </w:r>
          </w:p>
        </w:tc>
        <w:tc>
          <w:tcPr>
            <w:tcW w:w="2533" w:type="dxa"/>
            <w:tcBorders>
              <w:top w:val="single" w:sz="8" w:space="0" w:color="7F7F7F"/>
              <w:left w:val="single" w:sz="8" w:space="0" w:color="7F7F7F"/>
              <w:bottom w:val="single" w:sz="9" w:space="0" w:color="7F7F7F"/>
              <w:right w:val="single" w:sz="7" w:space="0" w:color="000000"/>
            </w:tcBorders>
          </w:tcPr>
          <w:p w14:paraId="593599D7" w14:textId="77777777" w:rsidR="00163219" w:rsidRPr="003E4273" w:rsidRDefault="002C2B59" w:rsidP="00191A05">
            <w:pPr>
              <w:spacing w:after="0" w:line="259" w:lineRule="auto"/>
              <w:ind w:left="1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Po ustaleniu recepty, 3 razy w okresie wykonywania konstrukcji i raz na 5000 m</w:t>
            </w:r>
            <w:r w:rsidRPr="003E4273">
              <w:rPr>
                <w:rFonts w:ascii="Lato" w:hAnsi="Lato" w:cs="Arial"/>
                <w:color w:val="auto"/>
                <w:sz w:val="20"/>
                <w:szCs w:val="20"/>
                <w:vertAlign w:val="superscript"/>
              </w:rPr>
              <w:t>3</w:t>
            </w: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 xml:space="preserve"> betonu</w:t>
            </w:r>
          </w:p>
        </w:tc>
      </w:tr>
      <w:tr w:rsidR="00042354" w:rsidRPr="003E4273" w14:paraId="4AC877A3" w14:textId="77777777">
        <w:trPr>
          <w:trHeight w:val="324"/>
        </w:trPr>
        <w:tc>
          <w:tcPr>
            <w:tcW w:w="0" w:type="auto"/>
            <w:vMerge/>
            <w:tcBorders>
              <w:top w:val="nil"/>
              <w:left w:val="single" w:sz="7" w:space="0" w:color="000000"/>
              <w:bottom w:val="nil"/>
              <w:right w:val="single" w:sz="8" w:space="0" w:color="000000"/>
            </w:tcBorders>
          </w:tcPr>
          <w:p w14:paraId="70DDEF8A" w14:textId="77777777" w:rsidR="00163219" w:rsidRPr="003E4273" w:rsidRDefault="0016321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single" w:sz="9" w:space="0" w:color="7F7F7F"/>
              <w:left w:val="single" w:sz="8" w:space="0" w:color="000000"/>
              <w:bottom w:val="single" w:sz="9" w:space="0" w:color="7F7F7F"/>
              <w:right w:val="single" w:sz="8" w:space="0" w:color="7F7F7F"/>
            </w:tcBorders>
          </w:tcPr>
          <w:p w14:paraId="0D3B6803" w14:textId="77777777" w:rsidR="00163219" w:rsidRPr="003E4273" w:rsidRDefault="002C2B59" w:rsidP="00191A05">
            <w:pPr>
              <w:spacing w:after="0" w:line="259" w:lineRule="auto"/>
              <w:ind w:left="1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4) Mrozoodporność</w:t>
            </w:r>
          </w:p>
        </w:tc>
        <w:tc>
          <w:tcPr>
            <w:tcW w:w="2400" w:type="dxa"/>
            <w:tcBorders>
              <w:top w:val="single" w:sz="9" w:space="0" w:color="7F7F7F"/>
              <w:left w:val="single" w:sz="8" w:space="0" w:color="7F7F7F"/>
              <w:bottom w:val="single" w:sz="9" w:space="0" w:color="7F7F7F"/>
              <w:right w:val="single" w:sz="8" w:space="0" w:color="7F7F7F"/>
            </w:tcBorders>
          </w:tcPr>
          <w:p w14:paraId="3B11FDB4" w14:textId="77777777" w:rsidR="00163219" w:rsidRPr="003E4273" w:rsidRDefault="002C2B59" w:rsidP="00191A05">
            <w:pPr>
              <w:spacing w:after="0" w:line="259" w:lineRule="auto"/>
              <w:ind w:left="2" w:right="0" w:firstLine="0"/>
              <w:jc w:val="center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jw.</w:t>
            </w:r>
          </w:p>
        </w:tc>
        <w:tc>
          <w:tcPr>
            <w:tcW w:w="2533" w:type="dxa"/>
            <w:tcBorders>
              <w:top w:val="single" w:sz="9" w:space="0" w:color="7F7F7F"/>
              <w:left w:val="single" w:sz="8" w:space="0" w:color="7F7F7F"/>
              <w:bottom w:val="single" w:sz="9" w:space="0" w:color="7F7F7F"/>
              <w:right w:val="single" w:sz="7" w:space="0" w:color="000000"/>
            </w:tcBorders>
          </w:tcPr>
          <w:p w14:paraId="3C3EA839" w14:textId="77777777" w:rsidR="00163219" w:rsidRPr="003E4273" w:rsidRDefault="002C2B59" w:rsidP="00191A05">
            <w:pPr>
              <w:spacing w:after="0" w:line="259" w:lineRule="auto"/>
              <w:ind w:left="4" w:right="0" w:firstLine="0"/>
              <w:jc w:val="center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jw.</w:t>
            </w:r>
          </w:p>
        </w:tc>
      </w:tr>
      <w:tr w:rsidR="00163219" w:rsidRPr="003E4273" w14:paraId="76E5F0C4" w14:textId="77777777">
        <w:trPr>
          <w:trHeight w:val="320"/>
        </w:trPr>
        <w:tc>
          <w:tcPr>
            <w:tcW w:w="0" w:type="auto"/>
            <w:vMerge/>
            <w:tcBorders>
              <w:top w:val="nil"/>
              <w:left w:val="single" w:sz="7" w:space="0" w:color="000000"/>
              <w:bottom w:val="single" w:sz="7" w:space="0" w:color="000000"/>
              <w:right w:val="single" w:sz="8" w:space="0" w:color="000000"/>
            </w:tcBorders>
          </w:tcPr>
          <w:p w14:paraId="07A27565" w14:textId="77777777" w:rsidR="00163219" w:rsidRPr="003E4273" w:rsidRDefault="0016321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single" w:sz="9" w:space="0" w:color="7F7F7F"/>
              <w:left w:val="single" w:sz="8" w:space="0" w:color="000000"/>
              <w:bottom w:val="single" w:sz="7" w:space="0" w:color="7F7F7F"/>
              <w:right w:val="single" w:sz="8" w:space="0" w:color="7F7F7F"/>
            </w:tcBorders>
          </w:tcPr>
          <w:p w14:paraId="7E7E5A9C" w14:textId="77777777" w:rsidR="00163219" w:rsidRPr="003E4273" w:rsidRDefault="002C2B59" w:rsidP="00191A05">
            <w:pPr>
              <w:spacing w:after="0" w:line="259" w:lineRule="auto"/>
              <w:ind w:left="1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5) Przepuszczalność wody</w:t>
            </w:r>
          </w:p>
        </w:tc>
        <w:tc>
          <w:tcPr>
            <w:tcW w:w="2400" w:type="dxa"/>
            <w:tcBorders>
              <w:top w:val="single" w:sz="9" w:space="0" w:color="7F7F7F"/>
              <w:left w:val="single" w:sz="8" w:space="0" w:color="7F7F7F"/>
              <w:bottom w:val="single" w:sz="7" w:space="0" w:color="7F7F7F"/>
              <w:right w:val="single" w:sz="8" w:space="0" w:color="7F7F7F"/>
            </w:tcBorders>
          </w:tcPr>
          <w:p w14:paraId="50671858" w14:textId="77777777" w:rsidR="00163219" w:rsidRPr="003E4273" w:rsidRDefault="002C2B59" w:rsidP="00191A05">
            <w:pPr>
              <w:spacing w:after="0" w:line="259" w:lineRule="auto"/>
              <w:ind w:left="2" w:right="0" w:firstLine="0"/>
              <w:jc w:val="center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jw.</w:t>
            </w:r>
          </w:p>
        </w:tc>
        <w:tc>
          <w:tcPr>
            <w:tcW w:w="2533" w:type="dxa"/>
            <w:tcBorders>
              <w:top w:val="single" w:sz="9" w:space="0" w:color="7F7F7F"/>
              <w:left w:val="single" w:sz="8" w:space="0" w:color="7F7F7F"/>
              <w:bottom w:val="single" w:sz="7" w:space="0" w:color="000000"/>
              <w:right w:val="single" w:sz="7" w:space="0" w:color="000000"/>
            </w:tcBorders>
          </w:tcPr>
          <w:p w14:paraId="1E1DC39C" w14:textId="77777777" w:rsidR="00163219" w:rsidRPr="003E4273" w:rsidRDefault="002C2B59" w:rsidP="00191A05">
            <w:pPr>
              <w:spacing w:after="0" w:line="259" w:lineRule="auto"/>
              <w:ind w:left="4" w:right="0" w:firstLine="0"/>
              <w:jc w:val="center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jw.</w:t>
            </w:r>
          </w:p>
        </w:tc>
      </w:tr>
    </w:tbl>
    <w:p w14:paraId="592F2618" w14:textId="77777777" w:rsidR="00184323" w:rsidRPr="003E4273" w:rsidRDefault="00184323" w:rsidP="00191A05">
      <w:pPr>
        <w:tabs>
          <w:tab w:val="center" w:pos="2233"/>
        </w:tabs>
        <w:spacing w:after="0" w:line="248" w:lineRule="auto"/>
        <w:ind w:left="-15" w:right="0" w:firstLine="0"/>
        <w:jc w:val="left"/>
        <w:rPr>
          <w:rFonts w:ascii="Lato" w:hAnsi="Lato" w:cs="Arial"/>
          <w:color w:val="auto"/>
          <w:sz w:val="20"/>
          <w:szCs w:val="20"/>
        </w:rPr>
      </w:pPr>
    </w:p>
    <w:p w14:paraId="6E5278C6" w14:textId="00D54AFA" w:rsidR="00163219" w:rsidRPr="003E4273" w:rsidRDefault="002C2B59" w:rsidP="00191A05">
      <w:pPr>
        <w:tabs>
          <w:tab w:val="center" w:pos="2233"/>
        </w:tabs>
        <w:spacing w:after="0" w:line="248" w:lineRule="auto"/>
        <w:ind w:left="-15" w:righ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6.3.</w:t>
      </w:r>
      <w:r w:rsidRPr="003E4273">
        <w:rPr>
          <w:rFonts w:ascii="Lato" w:hAnsi="Lato" w:cs="Arial"/>
          <w:color w:val="auto"/>
          <w:sz w:val="20"/>
          <w:szCs w:val="20"/>
        </w:rPr>
        <w:tab/>
        <w:t xml:space="preserve">Kontrola </w:t>
      </w:r>
      <w:proofErr w:type="spellStart"/>
      <w:r w:rsidRPr="003E4273">
        <w:rPr>
          <w:rFonts w:ascii="Lato" w:hAnsi="Lato" w:cs="Arial"/>
          <w:color w:val="auto"/>
          <w:sz w:val="20"/>
          <w:szCs w:val="20"/>
        </w:rPr>
        <w:t>deskowań</w:t>
      </w:r>
      <w:proofErr w:type="spellEnd"/>
      <w:r w:rsidRPr="003E4273">
        <w:rPr>
          <w:rFonts w:ascii="Lato" w:hAnsi="Lato" w:cs="Arial"/>
          <w:color w:val="auto"/>
          <w:sz w:val="20"/>
          <w:szCs w:val="20"/>
        </w:rPr>
        <w:t xml:space="preserve"> i rusztowań</w:t>
      </w:r>
    </w:p>
    <w:p w14:paraId="6CF04195" w14:textId="7777777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Badania elementów rusztowań należy przeprowadzić w zależności od użytego materiału zgodnie z:</w:t>
      </w:r>
    </w:p>
    <w:p w14:paraId="5D23FF8A" w14:textId="2EB03C03" w:rsidR="00184323" w:rsidRPr="003E4273" w:rsidRDefault="002C2B59" w:rsidP="0032475B">
      <w:pPr>
        <w:numPr>
          <w:ilvl w:val="0"/>
          <w:numId w:val="15"/>
        </w:numPr>
        <w:spacing w:after="0"/>
        <w:ind w:right="62" w:hanging="64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PN-M-47900-2:1996 w przypadku elementów stalowych, –</w:t>
      </w:r>
      <w:r w:rsidRPr="003E4273">
        <w:rPr>
          <w:rFonts w:ascii="Lato" w:hAnsi="Lato" w:cs="Arial"/>
          <w:color w:val="auto"/>
          <w:sz w:val="20"/>
          <w:szCs w:val="20"/>
        </w:rPr>
        <w:tab/>
        <w:t>PN-</w:t>
      </w:r>
      <w:r w:rsidR="002A55DC" w:rsidRPr="003E4273">
        <w:rPr>
          <w:rFonts w:ascii="Lato" w:hAnsi="Lato" w:cs="Arial"/>
          <w:color w:val="auto"/>
          <w:sz w:val="20"/>
          <w:szCs w:val="20"/>
        </w:rPr>
        <w:t>EN 12811-1:2007</w:t>
      </w:r>
      <w:r w:rsidRPr="003E4273">
        <w:rPr>
          <w:rFonts w:ascii="Lato" w:hAnsi="Lato" w:cs="Arial"/>
          <w:color w:val="auto"/>
          <w:sz w:val="20"/>
          <w:szCs w:val="20"/>
        </w:rPr>
        <w:t xml:space="preserve"> w przypadku </w:t>
      </w:r>
      <w:r w:rsidR="002A55DC" w:rsidRPr="003E4273">
        <w:rPr>
          <w:rFonts w:ascii="Lato" w:hAnsi="Lato" w:cs="Arial"/>
          <w:color w:val="auto"/>
          <w:sz w:val="20"/>
          <w:szCs w:val="20"/>
        </w:rPr>
        <w:t>tymczasowych konstrukcji</w:t>
      </w:r>
      <w:r w:rsidRPr="003E4273">
        <w:rPr>
          <w:rFonts w:ascii="Lato" w:hAnsi="Lato" w:cs="Arial"/>
          <w:color w:val="auto"/>
          <w:sz w:val="20"/>
          <w:szCs w:val="20"/>
        </w:rPr>
        <w:t>.</w:t>
      </w:r>
    </w:p>
    <w:p w14:paraId="1ACDF53C" w14:textId="77D5B8EB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 xml:space="preserve">Dopuszcza się następujące odchyłki </w:t>
      </w:r>
      <w:proofErr w:type="spellStart"/>
      <w:r w:rsidRPr="003E4273">
        <w:rPr>
          <w:rFonts w:ascii="Lato" w:hAnsi="Lato" w:cs="Arial"/>
          <w:color w:val="auto"/>
          <w:sz w:val="20"/>
          <w:szCs w:val="20"/>
        </w:rPr>
        <w:t>deskowań</w:t>
      </w:r>
      <w:proofErr w:type="spellEnd"/>
      <w:r w:rsidRPr="003E4273">
        <w:rPr>
          <w:rFonts w:ascii="Lato" w:hAnsi="Lato" w:cs="Arial"/>
          <w:color w:val="auto"/>
          <w:sz w:val="20"/>
          <w:szCs w:val="20"/>
        </w:rPr>
        <w:t xml:space="preserve"> w stosunku do wielkości założonych w projekcie technologicznym </w:t>
      </w:r>
      <w:proofErr w:type="spellStart"/>
      <w:r w:rsidRPr="003E4273">
        <w:rPr>
          <w:rFonts w:ascii="Lato" w:hAnsi="Lato" w:cs="Arial"/>
          <w:color w:val="auto"/>
          <w:sz w:val="20"/>
          <w:szCs w:val="20"/>
        </w:rPr>
        <w:t>deskowań</w:t>
      </w:r>
      <w:proofErr w:type="spellEnd"/>
      <w:r w:rsidRPr="003E4273">
        <w:rPr>
          <w:rFonts w:ascii="Lato" w:hAnsi="Lato" w:cs="Arial"/>
          <w:color w:val="auto"/>
          <w:sz w:val="20"/>
          <w:szCs w:val="20"/>
        </w:rPr>
        <w:t>:</w:t>
      </w:r>
    </w:p>
    <w:p w14:paraId="6A45C321" w14:textId="77777777" w:rsidR="00163219" w:rsidRPr="003E4273" w:rsidRDefault="002C2B59" w:rsidP="00191A05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0" w:line="220" w:lineRule="auto"/>
        <w:ind w:left="59" w:right="62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Każde deskowanie powinno być odebrane. Przedmiotem sprawdzenia w czasie odbioru powinny być:</w:t>
      </w:r>
    </w:p>
    <w:p w14:paraId="115BBC02" w14:textId="77777777" w:rsidR="00163219" w:rsidRPr="003E4273" w:rsidRDefault="002C2B59" w:rsidP="00191A05">
      <w:pPr>
        <w:numPr>
          <w:ilvl w:val="0"/>
          <w:numId w:val="15"/>
        </w:num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0" w:line="220" w:lineRule="auto"/>
        <w:ind w:right="62" w:hanging="64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klasy drewna i jego wady (sęki),</w:t>
      </w:r>
    </w:p>
    <w:p w14:paraId="0748453D" w14:textId="77777777" w:rsidR="00163219" w:rsidRPr="003E4273" w:rsidRDefault="002C2B59" w:rsidP="00191A05">
      <w:pPr>
        <w:numPr>
          <w:ilvl w:val="0"/>
          <w:numId w:val="15"/>
        </w:num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0" w:line="220" w:lineRule="auto"/>
        <w:ind w:right="62" w:hanging="64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 xml:space="preserve">szczelność </w:t>
      </w:r>
      <w:proofErr w:type="spellStart"/>
      <w:r w:rsidRPr="003E4273">
        <w:rPr>
          <w:rFonts w:ascii="Lato" w:hAnsi="Lato" w:cs="Arial"/>
          <w:color w:val="auto"/>
          <w:sz w:val="20"/>
          <w:szCs w:val="20"/>
        </w:rPr>
        <w:t>deskowań</w:t>
      </w:r>
      <w:proofErr w:type="spellEnd"/>
      <w:r w:rsidRPr="003E4273">
        <w:rPr>
          <w:rFonts w:ascii="Lato" w:hAnsi="Lato" w:cs="Arial"/>
          <w:color w:val="auto"/>
          <w:sz w:val="20"/>
          <w:szCs w:val="20"/>
        </w:rPr>
        <w:t xml:space="preserve"> w płaszczyznach i narożach wklęsłych,</w:t>
      </w:r>
    </w:p>
    <w:p w14:paraId="7A94E496" w14:textId="77777777" w:rsidR="00163219" w:rsidRPr="003E4273" w:rsidRDefault="002C2B59" w:rsidP="00191A05">
      <w:pPr>
        <w:numPr>
          <w:ilvl w:val="0"/>
          <w:numId w:val="15"/>
        </w:num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0" w:line="220" w:lineRule="auto"/>
        <w:ind w:right="62" w:hanging="64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poziom górnej krawędzi i powierzchni deskowania przed i po betonowaniu.</w:t>
      </w:r>
    </w:p>
    <w:p w14:paraId="3D124DDF" w14:textId="77777777" w:rsidR="00163219" w:rsidRPr="003E4273" w:rsidRDefault="002C2B59" w:rsidP="0032475B">
      <w:pPr>
        <w:spacing w:after="0"/>
        <w:ind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 xml:space="preserve">Dopuszcza się następujące odchyłki </w:t>
      </w:r>
      <w:proofErr w:type="spellStart"/>
      <w:r w:rsidRPr="003E4273">
        <w:rPr>
          <w:rFonts w:ascii="Lato" w:hAnsi="Lato" w:cs="Arial"/>
          <w:color w:val="auto"/>
          <w:sz w:val="20"/>
          <w:szCs w:val="20"/>
        </w:rPr>
        <w:t>deskowań</w:t>
      </w:r>
      <w:proofErr w:type="spellEnd"/>
      <w:r w:rsidRPr="003E4273">
        <w:rPr>
          <w:rFonts w:ascii="Lato" w:hAnsi="Lato" w:cs="Arial"/>
          <w:color w:val="auto"/>
          <w:sz w:val="20"/>
          <w:szCs w:val="20"/>
        </w:rPr>
        <w:t xml:space="preserve"> w stosunku do wielkości założonych w projekcie technologicznym </w:t>
      </w:r>
      <w:proofErr w:type="spellStart"/>
      <w:r w:rsidRPr="003E4273">
        <w:rPr>
          <w:rFonts w:ascii="Lato" w:hAnsi="Lato" w:cs="Arial"/>
          <w:color w:val="auto"/>
          <w:sz w:val="20"/>
          <w:szCs w:val="20"/>
        </w:rPr>
        <w:t>deskowań</w:t>
      </w:r>
      <w:proofErr w:type="spellEnd"/>
      <w:r w:rsidRPr="003E4273">
        <w:rPr>
          <w:rFonts w:ascii="Lato" w:hAnsi="Lato" w:cs="Arial"/>
          <w:color w:val="auto"/>
          <w:sz w:val="20"/>
          <w:szCs w:val="20"/>
        </w:rPr>
        <w:t>:</w:t>
      </w:r>
    </w:p>
    <w:p w14:paraId="024235C3" w14:textId="77777777" w:rsidR="00163219" w:rsidRPr="003E4273" w:rsidRDefault="002C2B59" w:rsidP="00191A05">
      <w:pPr>
        <w:numPr>
          <w:ilvl w:val="2"/>
          <w:numId w:val="17"/>
        </w:numPr>
        <w:spacing w:after="0"/>
        <w:ind w:left="572" w:right="0" w:hanging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rozstaw żeber ±0,5%, lecz nie więcej niż o 2 cm,</w:t>
      </w:r>
    </w:p>
    <w:p w14:paraId="411533D6" w14:textId="77777777" w:rsidR="00163219" w:rsidRPr="003E4273" w:rsidRDefault="002C2B59" w:rsidP="00191A05">
      <w:pPr>
        <w:numPr>
          <w:ilvl w:val="2"/>
          <w:numId w:val="17"/>
        </w:numPr>
        <w:spacing w:after="0"/>
        <w:ind w:left="572" w:right="0" w:hanging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 xml:space="preserve">odchylenie </w:t>
      </w:r>
      <w:proofErr w:type="spellStart"/>
      <w:r w:rsidRPr="003E4273">
        <w:rPr>
          <w:rFonts w:ascii="Lato" w:hAnsi="Lato" w:cs="Arial"/>
          <w:color w:val="auto"/>
          <w:sz w:val="20"/>
          <w:szCs w:val="20"/>
        </w:rPr>
        <w:t>deskowań</w:t>
      </w:r>
      <w:proofErr w:type="spellEnd"/>
      <w:r w:rsidRPr="003E4273">
        <w:rPr>
          <w:rFonts w:ascii="Lato" w:hAnsi="Lato" w:cs="Arial"/>
          <w:color w:val="auto"/>
          <w:sz w:val="20"/>
          <w:szCs w:val="20"/>
        </w:rPr>
        <w:t xml:space="preserve"> od prostoliniowości lub od płaszczyzny o 0,1%,</w:t>
      </w:r>
    </w:p>
    <w:p w14:paraId="657262D9" w14:textId="77777777" w:rsidR="00163219" w:rsidRPr="003E4273" w:rsidRDefault="002C2B59" w:rsidP="00191A05">
      <w:pPr>
        <w:numPr>
          <w:ilvl w:val="2"/>
          <w:numId w:val="17"/>
        </w:numPr>
        <w:spacing w:after="0"/>
        <w:ind w:left="572" w:right="0" w:hanging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różnice w grubości desek ±0,2 cm,</w:t>
      </w:r>
    </w:p>
    <w:p w14:paraId="704701F6" w14:textId="77777777" w:rsidR="00163219" w:rsidRPr="003E4273" w:rsidRDefault="002C2B59" w:rsidP="00191A05">
      <w:pPr>
        <w:numPr>
          <w:ilvl w:val="2"/>
          <w:numId w:val="17"/>
        </w:numPr>
        <w:spacing w:after="0"/>
        <w:ind w:left="572" w:right="0" w:hanging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odchylenie ścian od pionu o ±0,2%, lecz nie więcej niż 0,5 cm,</w:t>
      </w:r>
    </w:p>
    <w:p w14:paraId="6F23201E" w14:textId="77777777" w:rsidR="00163219" w:rsidRPr="003E4273" w:rsidRDefault="002C2B59" w:rsidP="00191A05">
      <w:pPr>
        <w:numPr>
          <w:ilvl w:val="2"/>
          <w:numId w:val="17"/>
        </w:numPr>
        <w:spacing w:after="0"/>
        <w:ind w:left="572" w:right="0" w:hanging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wybrzuszenie powierzchni o ±0,2 cm, na odcinku 3 m,</w:t>
      </w:r>
    </w:p>
    <w:p w14:paraId="31941284" w14:textId="720AB14C" w:rsidR="00163219" w:rsidRPr="003E4273" w:rsidRDefault="002C2B59" w:rsidP="00191A05">
      <w:pPr>
        <w:numPr>
          <w:ilvl w:val="2"/>
          <w:numId w:val="17"/>
        </w:numPr>
        <w:spacing w:after="0"/>
        <w:ind w:left="572" w:right="0" w:hanging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 xml:space="preserve">odchyłki wymiarów wewnętrznych </w:t>
      </w:r>
      <w:proofErr w:type="spellStart"/>
      <w:r w:rsidRPr="003E4273">
        <w:rPr>
          <w:rFonts w:ascii="Lato" w:hAnsi="Lato" w:cs="Arial"/>
          <w:color w:val="auto"/>
          <w:sz w:val="20"/>
          <w:szCs w:val="20"/>
        </w:rPr>
        <w:t>deskowań</w:t>
      </w:r>
      <w:proofErr w:type="spellEnd"/>
      <w:r w:rsidRPr="003E4273">
        <w:rPr>
          <w:rFonts w:ascii="Lato" w:hAnsi="Lato" w:cs="Arial"/>
          <w:color w:val="auto"/>
          <w:sz w:val="20"/>
          <w:szCs w:val="20"/>
        </w:rPr>
        <w:t xml:space="preserve"> (przekrojów betonowych):</w:t>
      </w:r>
    </w:p>
    <w:p w14:paraId="18970FEC" w14:textId="77777777" w:rsidR="00163219" w:rsidRPr="003E4273" w:rsidRDefault="002C2B59" w:rsidP="00191A05">
      <w:pPr>
        <w:numPr>
          <w:ilvl w:val="0"/>
          <w:numId w:val="15"/>
        </w:numPr>
        <w:spacing w:after="0"/>
        <w:ind w:right="62" w:hanging="64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0,2% wysokości, lecz nie więcej niż –0,5 cm,</w:t>
      </w:r>
    </w:p>
    <w:p w14:paraId="764A8C86" w14:textId="77777777" w:rsidR="00163219" w:rsidRPr="003E4273" w:rsidRDefault="002C2B59" w:rsidP="00191A05">
      <w:pPr>
        <w:numPr>
          <w:ilvl w:val="0"/>
          <w:numId w:val="15"/>
        </w:numPr>
        <w:spacing w:after="0"/>
        <w:ind w:right="62" w:hanging="64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+0,5% wysokości, lecz nie więcej niż +2 cm,</w:t>
      </w:r>
    </w:p>
    <w:p w14:paraId="24FDEEF0" w14:textId="77777777" w:rsidR="00163219" w:rsidRPr="003E4273" w:rsidRDefault="002C2B59" w:rsidP="00191A05">
      <w:pPr>
        <w:numPr>
          <w:ilvl w:val="0"/>
          <w:numId w:val="15"/>
        </w:numPr>
        <w:spacing w:after="0"/>
        <w:ind w:right="62" w:hanging="64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lastRenderedPageBreak/>
        <w:t>–0,2% grubości (szerokości), lecz nie więcej niż +0,5 cm.</w:t>
      </w:r>
    </w:p>
    <w:p w14:paraId="3CC42336" w14:textId="7777777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W każdym rusztowaniu w czasie odbioru należy sprawdzić:</w:t>
      </w:r>
    </w:p>
    <w:p w14:paraId="5B74E903" w14:textId="77777777" w:rsidR="0032475B" w:rsidRPr="003E4273" w:rsidRDefault="002C2B59" w:rsidP="00191A05">
      <w:pPr>
        <w:numPr>
          <w:ilvl w:val="0"/>
          <w:numId w:val="18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 xml:space="preserve">rodzaj materiału (klasę drewna – nie należy stosować do rusztowań klasy niższej niż K27), </w:t>
      </w:r>
    </w:p>
    <w:p w14:paraId="4B87A708" w14:textId="5D651168" w:rsidR="00163219" w:rsidRPr="003E4273" w:rsidRDefault="002C2B59" w:rsidP="00191A05">
      <w:pPr>
        <w:numPr>
          <w:ilvl w:val="0"/>
          <w:numId w:val="18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łączniki i złącza,</w:t>
      </w:r>
    </w:p>
    <w:p w14:paraId="2E1FC4A2" w14:textId="77777777" w:rsidR="00163219" w:rsidRPr="003E4273" w:rsidRDefault="002C2B59" w:rsidP="00191A05">
      <w:pPr>
        <w:numPr>
          <w:ilvl w:val="0"/>
          <w:numId w:val="18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poziomy górnych krawędzi przed obciążeniem i po obciążeniu oraz krawędzie dolne,</w:t>
      </w:r>
    </w:p>
    <w:p w14:paraId="13C755D1" w14:textId="77777777" w:rsidR="00163219" w:rsidRPr="003E4273" w:rsidRDefault="002C2B59" w:rsidP="00191A05">
      <w:pPr>
        <w:numPr>
          <w:ilvl w:val="0"/>
          <w:numId w:val="18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efektywność stężeń,</w:t>
      </w:r>
    </w:p>
    <w:p w14:paraId="6133FA08" w14:textId="77777777" w:rsidR="00163219" w:rsidRPr="003E4273" w:rsidRDefault="002C2B59" w:rsidP="00191A05">
      <w:pPr>
        <w:numPr>
          <w:ilvl w:val="0"/>
          <w:numId w:val="18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przygotowanie podłoża i sposób przekazywania nacisków na podłoże.</w:t>
      </w:r>
    </w:p>
    <w:p w14:paraId="220BED35" w14:textId="4784EB72" w:rsidR="00163219" w:rsidRPr="003E4273" w:rsidRDefault="002C2B59" w:rsidP="00191A05">
      <w:pPr>
        <w:spacing w:after="0" w:line="248" w:lineRule="auto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 xml:space="preserve">Rusztowania i deskowania powinny być przedmiotem bieżącej kontroli geodezyjnej podczas ich budowy, w czasie betonowania oraz demontażu (sprawdzenie wpływu zdjęcia rusztowań i </w:t>
      </w:r>
      <w:proofErr w:type="spellStart"/>
      <w:r w:rsidRPr="003E4273">
        <w:rPr>
          <w:rFonts w:ascii="Lato" w:hAnsi="Lato" w:cs="Arial"/>
          <w:color w:val="auto"/>
          <w:sz w:val="20"/>
          <w:szCs w:val="20"/>
        </w:rPr>
        <w:t>deskowań</w:t>
      </w:r>
      <w:proofErr w:type="spellEnd"/>
      <w:r w:rsidRPr="003E4273">
        <w:rPr>
          <w:rFonts w:ascii="Lato" w:hAnsi="Lato" w:cs="Arial"/>
          <w:color w:val="auto"/>
          <w:sz w:val="20"/>
          <w:szCs w:val="20"/>
        </w:rPr>
        <w:t xml:space="preserve"> na odkształcenia konstrukcji nośnej).</w:t>
      </w:r>
    </w:p>
    <w:p w14:paraId="514957C5" w14:textId="77777777" w:rsidR="002D616B" w:rsidRPr="003E4273" w:rsidRDefault="002D616B" w:rsidP="00191A05">
      <w:pPr>
        <w:spacing w:after="0" w:line="248" w:lineRule="auto"/>
        <w:ind w:left="-15" w:right="0" w:firstLine="286"/>
        <w:rPr>
          <w:rFonts w:ascii="Lato" w:hAnsi="Lato" w:cs="Arial"/>
          <w:color w:val="auto"/>
          <w:sz w:val="20"/>
          <w:szCs w:val="20"/>
        </w:rPr>
      </w:pPr>
    </w:p>
    <w:p w14:paraId="61962F3C" w14:textId="5037CFA7" w:rsidR="002D616B" w:rsidRPr="003E4273" w:rsidRDefault="002C2B59" w:rsidP="002D616B">
      <w:pPr>
        <w:numPr>
          <w:ilvl w:val="0"/>
          <w:numId w:val="19"/>
        </w:numPr>
        <w:spacing w:after="0" w:line="248" w:lineRule="auto"/>
        <w:ind w:right="0" w:hanging="451"/>
        <w:rPr>
          <w:rFonts w:ascii="Lato" w:hAnsi="Lato" w:cs="Arial"/>
          <w:b/>
          <w:bCs/>
          <w:color w:val="auto"/>
          <w:sz w:val="20"/>
          <w:szCs w:val="20"/>
        </w:rPr>
      </w:pPr>
      <w:r w:rsidRPr="003E4273">
        <w:rPr>
          <w:rFonts w:ascii="Lato" w:hAnsi="Lato" w:cs="Arial"/>
          <w:b/>
          <w:bCs/>
          <w:color w:val="auto"/>
          <w:sz w:val="20"/>
          <w:szCs w:val="20"/>
        </w:rPr>
        <w:t>WYMAGANIA DOTYCZĄCE PRZEDMIARU I OBMIARU ROBÓT</w:t>
      </w:r>
    </w:p>
    <w:p w14:paraId="633048BC" w14:textId="77777777" w:rsidR="00163219" w:rsidRPr="003E4273" w:rsidRDefault="002C2B59" w:rsidP="0032475B">
      <w:pPr>
        <w:numPr>
          <w:ilvl w:val="1"/>
          <w:numId w:val="19"/>
        </w:numPr>
        <w:spacing w:after="0" w:line="248" w:lineRule="auto"/>
        <w:ind w:left="567" w:right="0" w:hanging="571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Ogólne zasady obmiaru robót podano w ST „Wymagania ogólne”, Kod CPV</w:t>
      </w:r>
    </w:p>
    <w:p w14:paraId="4E634477" w14:textId="05B8F4DD" w:rsidR="00163219" w:rsidRPr="003E4273" w:rsidRDefault="002C2B59" w:rsidP="00191A05">
      <w:pPr>
        <w:spacing w:after="0" w:line="248" w:lineRule="auto"/>
        <w:ind w:left="581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45000000-7, pkt 7</w:t>
      </w:r>
    </w:p>
    <w:p w14:paraId="23968306" w14:textId="77777777" w:rsidR="002D616B" w:rsidRPr="003E4273" w:rsidRDefault="002D616B" w:rsidP="00191A05">
      <w:pPr>
        <w:spacing w:after="0" w:line="248" w:lineRule="auto"/>
        <w:ind w:left="581" w:right="0"/>
        <w:rPr>
          <w:rFonts w:ascii="Lato" w:hAnsi="Lato" w:cs="Arial"/>
          <w:color w:val="auto"/>
          <w:sz w:val="20"/>
          <w:szCs w:val="20"/>
        </w:rPr>
      </w:pPr>
    </w:p>
    <w:p w14:paraId="51465FD9" w14:textId="77777777" w:rsidR="00163219" w:rsidRPr="003E4273" w:rsidRDefault="002C2B59" w:rsidP="0032475B">
      <w:pPr>
        <w:numPr>
          <w:ilvl w:val="1"/>
          <w:numId w:val="19"/>
        </w:numPr>
        <w:spacing w:after="0" w:line="248" w:lineRule="auto"/>
        <w:ind w:left="567" w:right="0" w:hanging="567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Szczegółowe zasady obmiaru robót betonowych</w:t>
      </w:r>
    </w:p>
    <w:p w14:paraId="13D7E0C6" w14:textId="379B4263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Objętość konstrukcji betonowej lub żelbetowej oblicza się w m</w:t>
      </w:r>
      <w:r w:rsidRPr="003E4273">
        <w:rPr>
          <w:rFonts w:ascii="Lato" w:hAnsi="Lato" w:cs="Arial"/>
          <w:color w:val="auto"/>
          <w:sz w:val="20"/>
          <w:szCs w:val="20"/>
          <w:vertAlign w:val="superscript"/>
        </w:rPr>
        <w:t>3</w:t>
      </w:r>
      <w:r w:rsidRPr="003E4273">
        <w:rPr>
          <w:rFonts w:ascii="Lato" w:hAnsi="Lato" w:cs="Arial"/>
          <w:color w:val="auto"/>
          <w:sz w:val="20"/>
          <w:szCs w:val="20"/>
        </w:rPr>
        <w:t xml:space="preserve"> (metr sześcienny). Do obliczenia ilości przedmiarowej lub obmiarowej przyjmuje się wymiary według dokumentacji projektowej. Z kubatury nie potrąca się rowków, skosów o przekroju równym lub mniejszym od 6 cm</w:t>
      </w:r>
      <w:r w:rsidRPr="003E4273">
        <w:rPr>
          <w:rFonts w:ascii="Lato" w:hAnsi="Lato" w:cs="Arial"/>
          <w:color w:val="auto"/>
          <w:sz w:val="20"/>
          <w:szCs w:val="20"/>
          <w:vertAlign w:val="superscript"/>
        </w:rPr>
        <w:t>2</w:t>
      </w:r>
      <w:r w:rsidRPr="003E4273">
        <w:rPr>
          <w:rFonts w:ascii="Lato" w:hAnsi="Lato" w:cs="Arial"/>
          <w:color w:val="auto"/>
          <w:sz w:val="20"/>
          <w:szCs w:val="20"/>
        </w:rPr>
        <w:t>.</w:t>
      </w:r>
    </w:p>
    <w:p w14:paraId="5A4EB2A5" w14:textId="77777777" w:rsidR="0032475B" w:rsidRPr="003E4273" w:rsidRDefault="0032475B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</w:p>
    <w:p w14:paraId="5BD6D6B5" w14:textId="77777777" w:rsidR="00163219" w:rsidRPr="003E4273" w:rsidRDefault="002C2B59" w:rsidP="00191A05">
      <w:pPr>
        <w:numPr>
          <w:ilvl w:val="0"/>
          <w:numId w:val="19"/>
        </w:numPr>
        <w:spacing w:after="0" w:line="248" w:lineRule="auto"/>
        <w:ind w:right="0" w:hanging="451"/>
        <w:rPr>
          <w:rFonts w:ascii="Lato" w:hAnsi="Lato" w:cs="Arial"/>
          <w:b/>
          <w:bCs/>
          <w:color w:val="auto"/>
          <w:sz w:val="20"/>
          <w:szCs w:val="20"/>
        </w:rPr>
      </w:pPr>
      <w:r w:rsidRPr="003E4273">
        <w:rPr>
          <w:rFonts w:ascii="Lato" w:hAnsi="Lato" w:cs="Arial"/>
          <w:b/>
          <w:bCs/>
          <w:color w:val="auto"/>
          <w:sz w:val="20"/>
          <w:szCs w:val="20"/>
        </w:rPr>
        <w:t>SPOSÓB ODBIORU ROBÓT</w:t>
      </w:r>
    </w:p>
    <w:p w14:paraId="5BF7C23B" w14:textId="77777777" w:rsidR="00163219" w:rsidRPr="003E4273" w:rsidRDefault="002C2B59" w:rsidP="0032475B">
      <w:pPr>
        <w:numPr>
          <w:ilvl w:val="1"/>
          <w:numId w:val="19"/>
        </w:numPr>
        <w:spacing w:after="0" w:line="248" w:lineRule="auto"/>
        <w:ind w:left="567" w:right="0" w:hanging="567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Ogólne zasady odbioru robót podano w ST „Wymagania ogólne”, Kod CPV</w:t>
      </w:r>
    </w:p>
    <w:p w14:paraId="4AE34187" w14:textId="53066A40" w:rsidR="00163219" w:rsidRPr="003E4273" w:rsidRDefault="002C2B59" w:rsidP="00191A05">
      <w:pPr>
        <w:spacing w:after="0" w:line="248" w:lineRule="auto"/>
        <w:ind w:left="581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45000000-7, pkt 8</w:t>
      </w:r>
    </w:p>
    <w:p w14:paraId="3826FDE1" w14:textId="77777777" w:rsidR="00E574E9" w:rsidRPr="003E4273" w:rsidRDefault="00E574E9" w:rsidP="00191A05">
      <w:pPr>
        <w:spacing w:after="0" w:line="248" w:lineRule="auto"/>
        <w:ind w:left="581" w:right="0"/>
        <w:rPr>
          <w:rFonts w:ascii="Lato" w:hAnsi="Lato" w:cs="Arial"/>
          <w:color w:val="auto"/>
          <w:sz w:val="20"/>
          <w:szCs w:val="20"/>
        </w:rPr>
      </w:pPr>
    </w:p>
    <w:p w14:paraId="0B55A7B2" w14:textId="77777777" w:rsidR="00163219" w:rsidRPr="003E4273" w:rsidRDefault="002C2B59" w:rsidP="0032475B">
      <w:pPr>
        <w:numPr>
          <w:ilvl w:val="1"/>
          <w:numId w:val="19"/>
        </w:numPr>
        <w:spacing w:after="0" w:line="248" w:lineRule="auto"/>
        <w:ind w:left="567" w:right="0" w:hanging="567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Odbiór robót zanikających lub ulegających zakryciu</w:t>
      </w:r>
    </w:p>
    <w:p w14:paraId="700F0E5C" w14:textId="7777777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W trakcie odbioru należy przeprowadzić badania wymienione w pkt. 6 niniejszej specyfikacji.</w:t>
      </w:r>
    </w:p>
    <w:p w14:paraId="0CA6D031" w14:textId="77777777" w:rsidR="00163219" w:rsidRPr="003E4273" w:rsidRDefault="002C2B59" w:rsidP="00191A05">
      <w:pPr>
        <w:spacing w:after="0" w:line="224" w:lineRule="auto"/>
        <w:ind w:left="-15" w:right="-13" w:firstLine="286"/>
        <w:jc w:val="left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Jeżeli wszystkie pomiary i badania dały wynik pozytywny można uznać, że roboty betoniarskie zostały wykonane zgodnie z dokumentacją projektową oraz specyfikacją techniczną (szczegółową).</w:t>
      </w:r>
    </w:p>
    <w:p w14:paraId="768DA983" w14:textId="77777777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Jeżeli chociaż jeden wynik badania jest negatywny roboty należy uznać za niezgodne z wymaganiami. W takim przypadku należy ustalić zakres prac koniecznych do usunięcia nieprawidłowości. Po wykonaniu ustalonego zakresu prac należy przedstawić je do ponownego odbioru.</w:t>
      </w:r>
    </w:p>
    <w:p w14:paraId="6577A98F" w14:textId="4AE67867" w:rsidR="00184323" w:rsidRPr="003E4273" w:rsidRDefault="002C2B59" w:rsidP="0032475B">
      <w:pPr>
        <w:spacing w:after="0" w:line="224" w:lineRule="auto"/>
        <w:ind w:left="296" w:right="-13"/>
        <w:jc w:val="left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Wszystkie ustalenia związane z dokonanym odbiorem robót ulegających zakryciu należy zapisać w dzienniku budowy lub protokole podpisanym przez przedstawicieli inwestora (inspektor nadzoru) i wykonawcy (kierownik budowy).</w:t>
      </w:r>
    </w:p>
    <w:p w14:paraId="06A5F531" w14:textId="77777777" w:rsidR="00E574E9" w:rsidRPr="003E4273" w:rsidRDefault="00E574E9" w:rsidP="0032475B">
      <w:pPr>
        <w:spacing w:after="0" w:line="224" w:lineRule="auto"/>
        <w:ind w:left="296" w:right="-13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</w:p>
    <w:p w14:paraId="0BE279D9" w14:textId="37F09CE2" w:rsidR="00163219" w:rsidRPr="003E4273" w:rsidRDefault="002C2B59" w:rsidP="00191A05">
      <w:pPr>
        <w:tabs>
          <w:tab w:val="center" w:pos="1511"/>
        </w:tabs>
        <w:spacing w:after="0" w:line="248" w:lineRule="auto"/>
        <w:ind w:left="-15" w:right="0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3E4273">
        <w:rPr>
          <w:rFonts w:ascii="Lato" w:hAnsi="Lato" w:cs="Arial"/>
          <w:b/>
          <w:bCs/>
          <w:color w:val="auto"/>
          <w:sz w:val="20"/>
          <w:szCs w:val="20"/>
        </w:rPr>
        <w:t>8.3.</w:t>
      </w:r>
      <w:r w:rsidR="0032475B" w:rsidRPr="003E4273">
        <w:rPr>
          <w:rFonts w:ascii="Lato" w:hAnsi="Lato" w:cs="Arial"/>
          <w:b/>
          <w:bCs/>
          <w:color w:val="auto"/>
          <w:sz w:val="20"/>
          <w:szCs w:val="20"/>
        </w:rPr>
        <w:t xml:space="preserve">   </w:t>
      </w:r>
      <w:r w:rsidRPr="003E4273">
        <w:rPr>
          <w:rFonts w:ascii="Lato" w:hAnsi="Lato" w:cs="Arial"/>
          <w:b/>
          <w:bCs/>
          <w:color w:val="auto"/>
          <w:sz w:val="20"/>
          <w:szCs w:val="20"/>
        </w:rPr>
        <w:t>Odbiór częściowy</w:t>
      </w:r>
    </w:p>
    <w:p w14:paraId="0A694284" w14:textId="7777777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Odbiór częściowy polega na ocenie ilości i jakości wykonanej części robót. Odbioru częściowego robót dokonuje się dla zakresu określonego w dokumentach umownych, według zasad jak przy odbiorze ostatecznym robót.</w:t>
      </w:r>
    </w:p>
    <w:p w14:paraId="03297CC7" w14:textId="77777777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Celem odbioru częściowego jest wczesne wykrycie ewentualnych usterek w realizowanych robotach i ich usunięcie przed odbiorem końcowym.</w:t>
      </w:r>
    </w:p>
    <w:p w14:paraId="69A481F5" w14:textId="77777777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Odbiór częściowy robót jest dokonywany przez inspektora nadzoru w obecności kierownika budowy.</w:t>
      </w:r>
    </w:p>
    <w:p w14:paraId="671A7F87" w14:textId="27BC1040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Protokół odbioru częściowego jest podstawą do dokonania częściowego rozliczenia robót, jeżeli taką formę przewiduje.</w:t>
      </w:r>
    </w:p>
    <w:p w14:paraId="74C82A9C" w14:textId="77777777" w:rsidR="00E574E9" w:rsidRPr="003E4273" w:rsidRDefault="00E574E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</w:p>
    <w:p w14:paraId="7E9B419F" w14:textId="24BF54A6" w:rsidR="00163219" w:rsidRPr="003E4273" w:rsidRDefault="002C2B59" w:rsidP="00191A05">
      <w:pPr>
        <w:tabs>
          <w:tab w:val="center" w:pos="2110"/>
        </w:tabs>
        <w:spacing w:after="0" w:line="248" w:lineRule="auto"/>
        <w:ind w:left="-15" w:right="0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3E4273">
        <w:rPr>
          <w:rFonts w:ascii="Lato" w:hAnsi="Lato" w:cs="Arial"/>
          <w:b/>
          <w:bCs/>
          <w:color w:val="auto"/>
          <w:sz w:val="20"/>
          <w:szCs w:val="20"/>
        </w:rPr>
        <w:t>8.4.</w:t>
      </w:r>
      <w:r w:rsidR="0032475B" w:rsidRPr="003E4273">
        <w:rPr>
          <w:rFonts w:ascii="Lato" w:hAnsi="Lato" w:cs="Arial"/>
          <w:b/>
          <w:bCs/>
          <w:color w:val="auto"/>
          <w:sz w:val="20"/>
          <w:szCs w:val="20"/>
        </w:rPr>
        <w:t xml:space="preserve">    </w:t>
      </w:r>
      <w:r w:rsidRPr="003E4273">
        <w:rPr>
          <w:rFonts w:ascii="Lato" w:hAnsi="Lato" w:cs="Arial"/>
          <w:b/>
          <w:bCs/>
          <w:color w:val="auto"/>
          <w:sz w:val="20"/>
          <w:szCs w:val="20"/>
        </w:rPr>
        <w:t>Odbiór ostateczny (końcowy)</w:t>
      </w:r>
    </w:p>
    <w:p w14:paraId="253159F7" w14:textId="7777777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Odbiór końcowy stanowi ostateczną ocenę rzeczywistego wykonania robót w odniesieniu do ich zakresu (ilości), jakości i zgodności z dokumentacją projektową.</w:t>
      </w:r>
    </w:p>
    <w:p w14:paraId="71550D1A" w14:textId="77777777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Odbiór ostateczny przeprowadza komisja powołana przez zamawiającego, na podstawie przedłożonych dokumentów, wyników badań oraz dokonanej oceny wizualnej.</w:t>
      </w:r>
    </w:p>
    <w:p w14:paraId="66E49D5F" w14:textId="7777777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Zasady i terminy powoływania komisji oraz czas jej działania powinna określać umowa.</w:t>
      </w:r>
    </w:p>
    <w:p w14:paraId="6B763A53" w14:textId="77777777" w:rsidR="00163219" w:rsidRPr="003E4273" w:rsidRDefault="002C2B59" w:rsidP="00191A05">
      <w:pPr>
        <w:spacing w:after="0" w:line="248" w:lineRule="auto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Wykonawca robót obowiązany jest przedłożyć komisji następujące dokumenty:</w:t>
      </w:r>
    </w:p>
    <w:p w14:paraId="31A862D0" w14:textId="77777777" w:rsidR="00163219" w:rsidRPr="003E4273" w:rsidRDefault="002C2B59" w:rsidP="00191A05">
      <w:pPr>
        <w:numPr>
          <w:ilvl w:val="0"/>
          <w:numId w:val="20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dokumentację projektową z naniesionymi zmianami dokonanymi w toku wykonywania robót,</w:t>
      </w:r>
    </w:p>
    <w:p w14:paraId="23E38554" w14:textId="77777777" w:rsidR="00163219" w:rsidRPr="003E4273" w:rsidRDefault="002C2B59" w:rsidP="00191A05">
      <w:pPr>
        <w:numPr>
          <w:ilvl w:val="0"/>
          <w:numId w:val="20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Szczegółowe Specyfikacje Techniczne ze zmianami wprowadzonymi w trakcie wykonywania robót,</w:t>
      </w:r>
    </w:p>
    <w:p w14:paraId="6A7EB118" w14:textId="77777777" w:rsidR="00163219" w:rsidRPr="003E4273" w:rsidRDefault="002C2B59" w:rsidP="00191A05">
      <w:pPr>
        <w:numPr>
          <w:ilvl w:val="0"/>
          <w:numId w:val="20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dziennik budowy i książki obmiarów z zapisami dokonywanymi w toku prowadzonych robót, protokoły kontroli spisywane w trakcie wykonywania prac,</w:t>
      </w:r>
    </w:p>
    <w:p w14:paraId="195CCDCC" w14:textId="77777777" w:rsidR="00163219" w:rsidRPr="003E4273" w:rsidRDefault="002C2B59" w:rsidP="00191A05">
      <w:pPr>
        <w:numPr>
          <w:ilvl w:val="0"/>
          <w:numId w:val="20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dokumenty świadczące o dopuszczeniu do obrotu i powszechnego zastosowania użytych materiałów i wyrobów budowlanych,</w:t>
      </w:r>
    </w:p>
    <w:p w14:paraId="184FCA0D" w14:textId="77777777" w:rsidR="00163219" w:rsidRPr="003E4273" w:rsidRDefault="002C2B59" w:rsidP="00191A05">
      <w:pPr>
        <w:numPr>
          <w:ilvl w:val="0"/>
          <w:numId w:val="20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protokoły odbiorów robót ulegających zakryciu i odbiorów częściowych, –</w:t>
      </w:r>
      <w:r w:rsidRPr="003E4273">
        <w:rPr>
          <w:rFonts w:ascii="Lato" w:hAnsi="Lato" w:cs="Arial"/>
          <w:color w:val="auto"/>
          <w:sz w:val="20"/>
          <w:szCs w:val="20"/>
        </w:rPr>
        <w:tab/>
        <w:t>wyniki badań laboratoryjnych i ekspertyz.</w:t>
      </w:r>
    </w:p>
    <w:p w14:paraId="48071E61" w14:textId="77777777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lastRenderedPageBreak/>
        <w:t>W toku odbioru komisja obowiązana jest zapoznać się z przedłożonymi dokumentami, przeprowadzić badania zgodnie z wytycznymi podanymi w pkt. 6 niniejszej ST, porównać je z wymaganiami podanymi w dokumentacji projektowej i niniejszej specyfikacji technicznej robót betoniarskich, opracowanej dla odbieranego przedmiotu zamówienia, oraz dokonać oceny wizualnej.</w:t>
      </w:r>
    </w:p>
    <w:p w14:paraId="542537EB" w14:textId="77777777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Konstrukcje betonowe i żelbetowe powinny być odebrane, jeżeli wszystkie wyniki badań są pozytywne, a dostarczone przez wykonawcę dokumenty są kompletne i prawidłowe pod względem merytorycznym.</w:t>
      </w:r>
    </w:p>
    <w:p w14:paraId="32DF138E" w14:textId="77777777" w:rsidR="00163219" w:rsidRPr="003E4273" w:rsidRDefault="002C2B59" w:rsidP="00191A05">
      <w:pPr>
        <w:pBdr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</w:pBdr>
        <w:spacing w:after="0" w:line="224" w:lineRule="auto"/>
        <w:ind w:left="59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Jeżeli chociażby jeden wynik badań był negatywny konstrukcje nie powinny być odebrane. W takim przypadku należy wybrać jedno z następujących rozwiązań:</w:t>
      </w:r>
    </w:p>
    <w:p w14:paraId="32FDF89E" w14:textId="77777777" w:rsidR="00163219" w:rsidRPr="003E4273" w:rsidRDefault="002C2B59" w:rsidP="00191A05">
      <w:pPr>
        <w:numPr>
          <w:ilvl w:val="0"/>
          <w:numId w:val="20"/>
        </w:numPr>
        <w:pBdr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</w:pBdr>
        <w:spacing w:after="0" w:line="224" w:lineRule="auto"/>
        <w:ind w:left="479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jeżeli to możliwe należy ustalić zakres prac korygujących, usunąć nieprawidłowości wykonania konstrukcji w stosunku do wymagań określonych w dokumentacji projektowej i niniejszej specyfikacji technicznej (szczegółowej) i przedstawić je ponownie do odbioru,</w:t>
      </w:r>
    </w:p>
    <w:p w14:paraId="54378A8E" w14:textId="77777777" w:rsidR="00163219" w:rsidRPr="003E4273" w:rsidRDefault="002C2B59" w:rsidP="00191A05">
      <w:pPr>
        <w:numPr>
          <w:ilvl w:val="0"/>
          <w:numId w:val="20"/>
        </w:numPr>
        <w:pBdr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</w:pBdr>
        <w:spacing w:after="0" w:line="224" w:lineRule="auto"/>
        <w:ind w:left="479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jeżeli odchylenia od wymagań nie zagrażają bezpieczeństwu użytkownika i trwałości konstrukcji zamawiający może wyrazić zgodę na dokonanie odbioru końcowego z jednoczesnym obniżeniem wartości wynagrodzenia w stosunku do ustaleń umownych.</w:t>
      </w:r>
    </w:p>
    <w:p w14:paraId="71CB5C86" w14:textId="77777777" w:rsidR="00163219" w:rsidRPr="003E4273" w:rsidRDefault="002C2B59" w:rsidP="00191A05">
      <w:pPr>
        <w:numPr>
          <w:ilvl w:val="0"/>
          <w:numId w:val="20"/>
        </w:numPr>
        <w:pBdr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</w:pBdr>
        <w:spacing w:after="0" w:line="224" w:lineRule="auto"/>
        <w:ind w:left="479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w przypadku, gdy nie są możliwe podane wyżej rozwiązania, wykonawca zobowiązany jest usunąć wadliwie wykonany element konstrukcyjny, wykonać go ponownie i powtórnie zgłosić do odbioru.</w:t>
      </w:r>
    </w:p>
    <w:p w14:paraId="21A972F3" w14:textId="77777777" w:rsidR="00163219" w:rsidRPr="003E4273" w:rsidRDefault="002C2B59" w:rsidP="0032475B">
      <w:pPr>
        <w:spacing w:after="0" w:line="259" w:lineRule="auto"/>
        <w:ind w:left="47" w:right="0" w:firstLine="224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W przypadku niekompletności dokumentów odbiór może być dokonany po ich uzupełnieniu.</w:t>
      </w:r>
    </w:p>
    <w:p w14:paraId="7CAB87E6" w14:textId="77777777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Z czynności odbioru sporządza się protokół podpisany przez przedstawicieli zamawiającego i wykonawcy. Protokół powinien zawierać: – ustalenia podjęte w trakcie prac komisji,</w:t>
      </w:r>
    </w:p>
    <w:p w14:paraId="5B898886" w14:textId="77777777" w:rsidR="00163219" w:rsidRPr="003E4273" w:rsidRDefault="002C2B59" w:rsidP="00191A05">
      <w:pPr>
        <w:numPr>
          <w:ilvl w:val="0"/>
          <w:numId w:val="20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ocenę wyników badań,</w:t>
      </w:r>
    </w:p>
    <w:p w14:paraId="46477431" w14:textId="77777777" w:rsidR="00163219" w:rsidRPr="003E4273" w:rsidRDefault="002C2B59" w:rsidP="00191A05">
      <w:pPr>
        <w:numPr>
          <w:ilvl w:val="0"/>
          <w:numId w:val="20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wykaz wad i usterek ze wskazaniem sposobu ich usunięcia,</w:t>
      </w:r>
    </w:p>
    <w:p w14:paraId="3E414AC7" w14:textId="77777777" w:rsidR="00163219" w:rsidRPr="003E4273" w:rsidRDefault="002C2B59" w:rsidP="00191A05">
      <w:pPr>
        <w:numPr>
          <w:ilvl w:val="0"/>
          <w:numId w:val="20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stwierdzenie zgodności lub niezgodności wykonania konstrukcji z zamówieniem.</w:t>
      </w:r>
    </w:p>
    <w:p w14:paraId="69DE7900" w14:textId="3E1787D3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Protokół odbioru końcowego jest podstawą do dokonania rozliczenia końcowego pomiędzy zamawiającym a wykonawcą.</w:t>
      </w:r>
    </w:p>
    <w:p w14:paraId="27C28BE3" w14:textId="77777777" w:rsidR="00E574E9" w:rsidRPr="003E4273" w:rsidRDefault="00E574E9" w:rsidP="00191A05">
      <w:pPr>
        <w:spacing w:after="0"/>
        <w:ind w:left="-15" w:right="0" w:firstLine="286"/>
        <w:rPr>
          <w:rFonts w:ascii="Lato" w:hAnsi="Lato" w:cs="Arial"/>
          <w:b/>
          <w:bCs/>
          <w:color w:val="auto"/>
          <w:sz w:val="20"/>
          <w:szCs w:val="20"/>
        </w:rPr>
      </w:pPr>
    </w:p>
    <w:p w14:paraId="16D4E47F" w14:textId="250D9C36" w:rsidR="00163219" w:rsidRPr="003E4273" w:rsidRDefault="002C2B59" w:rsidP="00191A05">
      <w:pPr>
        <w:tabs>
          <w:tab w:val="center" w:pos="2957"/>
        </w:tabs>
        <w:spacing w:after="0" w:line="248" w:lineRule="auto"/>
        <w:ind w:left="-15" w:right="0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3E4273">
        <w:rPr>
          <w:rFonts w:ascii="Lato" w:hAnsi="Lato" w:cs="Arial"/>
          <w:b/>
          <w:bCs/>
          <w:color w:val="auto"/>
          <w:sz w:val="20"/>
          <w:szCs w:val="20"/>
        </w:rPr>
        <w:t>8.5.</w:t>
      </w:r>
      <w:r w:rsidR="0032475B" w:rsidRPr="003E4273">
        <w:rPr>
          <w:rFonts w:ascii="Lato" w:hAnsi="Lato" w:cs="Arial"/>
          <w:b/>
          <w:bCs/>
          <w:color w:val="auto"/>
          <w:sz w:val="20"/>
          <w:szCs w:val="20"/>
        </w:rPr>
        <w:t xml:space="preserve">  </w:t>
      </w:r>
      <w:r w:rsidRPr="003E4273">
        <w:rPr>
          <w:rFonts w:ascii="Lato" w:hAnsi="Lato" w:cs="Arial"/>
          <w:b/>
          <w:bCs/>
          <w:color w:val="auto"/>
          <w:sz w:val="20"/>
          <w:szCs w:val="20"/>
        </w:rPr>
        <w:t>Odbiór po upływie okresu rękojmi i gwarancji</w:t>
      </w:r>
    </w:p>
    <w:p w14:paraId="004E9A68" w14:textId="7777777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Celem odbioru po okresie rękojmi i gwarancji jest ocena stanu konstrukcji betonowej lub żelbetowej po użytkowaniu w tym okresie oraz ocena wykonywanych w tym okresie ewentualnych robót poprawkowych, związanych z usuwaniem zgłoszonych wad.</w:t>
      </w:r>
    </w:p>
    <w:p w14:paraId="62863915" w14:textId="77777777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Odbiór po upływie okresu rękojmi i gwarancji jest dokonywany na podstawie oceny wizualnej konstrukcji, z uwzględnieniem zasad opisanych w pkt. 8.4. „Odbiór ostateczny (końcowy)”.</w:t>
      </w:r>
    </w:p>
    <w:p w14:paraId="5248C866" w14:textId="77777777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Pozytywny wynik odbioru pogwarancyjnego jest podstawą do zwrotu kaucji gwarancyjnej; negatywny do ewentualnego dokonania potrąceń wynikających z obniżonej jakości robót.</w:t>
      </w:r>
    </w:p>
    <w:p w14:paraId="4D3CDD40" w14:textId="6D7D3BF5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Przed upływem okresu gwarancyjnego zamawiający powinien zgłosić wykonawcy wszystkie zauważone wady w wykonanych robotach betoniarskich.</w:t>
      </w:r>
    </w:p>
    <w:p w14:paraId="7872248E" w14:textId="77777777" w:rsidR="00E574E9" w:rsidRPr="003E4273" w:rsidRDefault="00E574E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</w:p>
    <w:p w14:paraId="3300C52E" w14:textId="77777777" w:rsidR="00163219" w:rsidRPr="003E4273" w:rsidRDefault="002C2B59" w:rsidP="00191A05">
      <w:pPr>
        <w:numPr>
          <w:ilvl w:val="0"/>
          <w:numId w:val="21"/>
        </w:numPr>
        <w:spacing w:after="0" w:line="248" w:lineRule="auto"/>
        <w:ind w:right="0" w:hanging="451"/>
        <w:rPr>
          <w:rFonts w:ascii="Lato" w:hAnsi="Lato" w:cs="Arial"/>
          <w:b/>
          <w:bCs/>
          <w:color w:val="auto"/>
          <w:sz w:val="20"/>
          <w:szCs w:val="20"/>
        </w:rPr>
      </w:pPr>
      <w:r w:rsidRPr="003E4273">
        <w:rPr>
          <w:rFonts w:ascii="Lato" w:hAnsi="Lato" w:cs="Arial"/>
          <w:b/>
          <w:bCs/>
          <w:color w:val="auto"/>
          <w:sz w:val="20"/>
          <w:szCs w:val="20"/>
        </w:rPr>
        <w:t>PODSTAWA ROZLICZENIA ROBÓT PODSTAWOWYCH, TYMCZASOWYCH I PRAC TOWARZYSZĄCYCH</w:t>
      </w:r>
    </w:p>
    <w:p w14:paraId="3F9942E3" w14:textId="15FFB3FA" w:rsidR="00163219" w:rsidRPr="003E4273" w:rsidRDefault="002C2B59" w:rsidP="0032475B">
      <w:pPr>
        <w:numPr>
          <w:ilvl w:val="1"/>
          <w:numId w:val="21"/>
        </w:numPr>
        <w:spacing w:after="0" w:line="248" w:lineRule="auto"/>
        <w:ind w:left="567" w:right="0" w:hanging="571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Ogólne ustalenia dotyczące podstawy rozliczenia robót podano w ST „Wymagania ogólne”, Kod CPV 45000000-7, pkt 9</w:t>
      </w:r>
    </w:p>
    <w:p w14:paraId="0DA82BC1" w14:textId="77777777" w:rsidR="00E574E9" w:rsidRPr="003E4273" w:rsidRDefault="00E574E9" w:rsidP="00E574E9">
      <w:pPr>
        <w:spacing w:after="0" w:line="248" w:lineRule="auto"/>
        <w:ind w:left="567" w:right="0" w:firstLine="0"/>
        <w:rPr>
          <w:rFonts w:ascii="Lato" w:hAnsi="Lato" w:cs="Arial"/>
          <w:color w:val="auto"/>
          <w:sz w:val="20"/>
          <w:szCs w:val="20"/>
        </w:rPr>
      </w:pPr>
    </w:p>
    <w:p w14:paraId="75A7DBBF" w14:textId="77777777" w:rsidR="00163219" w:rsidRPr="003E4273" w:rsidRDefault="002C2B59" w:rsidP="0032475B">
      <w:pPr>
        <w:numPr>
          <w:ilvl w:val="1"/>
          <w:numId w:val="21"/>
        </w:numPr>
        <w:spacing w:after="0" w:line="248" w:lineRule="auto"/>
        <w:ind w:left="567" w:right="0" w:hanging="571"/>
        <w:rPr>
          <w:rFonts w:ascii="Lato" w:hAnsi="Lato" w:cs="Arial"/>
          <w:b/>
          <w:bCs/>
          <w:color w:val="auto"/>
          <w:sz w:val="20"/>
          <w:szCs w:val="20"/>
        </w:rPr>
      </w:pPr>
      <w:r w:rsidRPr="003E4273">
        <w:rPr>
          <w:rFonts w:ascii="Lato" w:hAnsi="Lato" w:cs="Arial"/>
          <w:b/>
          <w:bCs/>
          <w:color w:val="auto"/>
          <w:sz w:val="20"/>
          <w:szCs w:val="20"/>
        </w:rPr>
        <w:t>Zasady rozliczenia i płatności</w:t>
      </w:r>
    </w:p>
    <w:p w14:paraId="43A6340F" w14:textId="77777777" w:rsidR="00163219" w:rsidRPr="003E4273" w:rsidRDefault="002C2B59" w:rsidP="00191A05">
      <w:pPr>
        <w:spacing w:after="0"/>
        <w:ind w:left="-5" w:right="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Rozliczenie robót betoniarskich może być dokonane jednorazowo po wykonaniu pełnego zakresu robót i ich końcowym odbiorze lub etapami określonymi w umowie, po dokonaniu odbiorów częściowych robót.</w:t>
      </w:r>
    </w:p>
    <w:p w14:paraId="5A27FF16" w14:textId="77777777" w:rsidR="00163219" w:rsidRPr="003E4273" w:rsidRDefault="002C2B59" w:rsidP="00191A05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Ostateczne rozliczenie umowy pomiędzy zamawiającym a wykonawcą następuje po dokonaniu odbioru pogwarancyjnego.</w:t>
      </w:r>
    </w:p>
    <w:p w14:paraId="6809FB59" w14:textId="498164F5" w:rsidR="00163219" w:rsidRPr="003E4273" w:rsidRDefault="002C2B59" w:rsidP="00E574E9">
      <w:pPr>
        <w:spacing w:after="0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Podstawę rozliczenia oraz płatności wykonywanego i odebranego zakresu robót betoniarskich stanowi wartość tych robót obliczona na podstawie</w:t>
      </w:r>
      <w:r w:rsidR="00E574E9" w:rsidRPr="003E4273">
        <w:rPr>
          <w:rFonts w:ascii="Lato" w:hAnsi="Lato" w:cs="Arial"/>
          <w:color w:val="auto"/>
          <w:sz w:val="20"/>
          <w:szCs w:val="20"/>
        </w:rPr>
        <w:t xml:space="preserve"> </w:t>
      </w:r>
      <w:r w:rsidRPr="003E4273">
        <w:rPr>
          <w:rFonts w:ascii="Lato" w:hAnsi="Lato" w:cs="Arial"/>
          <w:color w:val="auto"/>
          <w:sz w:val="20"/>
          <w:szCs w:val="20"/>
        </w:rPr>
        <w:t>określonych w dokumentach umownych (ofercie) cen jednostkowych i ilości robót zaakceptowanych przez zamawiającego.</w:t>
      </w:r>
    </w:p>
    <w:p w14:paraId="61FC82E9" w14:textId="3C5B9771" w:rsidR="00163219" w:rsidRPr="003E4273" w:rsidRDefault="00E574E9" w:rsidP="00191A05">
      <w:pPr>
        <w:spacing w:after="0" w:line="248" w:lineRule="auto"/>
        <w:ind w:left="-15" w:right="0" w:firstLine="286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 xml:space="preserve">   </w:t>
      </w:r>
      <w:r w:rsidR="002C2B59" w:rsidRPr="003E4273">
        <w:rPr>
          <w:rFonts w:ascii="Lato" w:hAnsi="Lato" w:cs="Arial"/>
          <w:color w:val="auto"/>
          <w:sz w:val="20"/>
          <w:szCs w:val="20"/>
        </w:rPr>
        <w:t>Ceny jednostkowe wykonania 1 m</w:t>
      </w:r>
      <w:r w:rsidR="002C2B59" w:rsidRPr="003E4273">
        <w:rPr>
          <w:rFonts w:ascii="Lato" w:hAnsi="Lato" w:cs="Arial"/>
          <w:color w:val="auto"/>
          <w:sz w:val="20"/>
          <w:szCs w:val="20"/>
          <w:vertAlign w:val="superscript"/>
        </w:rPr>
        <w:t xml:space="preserve">3 </w:t>
      </w:r>
      <w:r w:rsidR="002C2B59" w:rsidRPr="003E4273">
        <w:rPr>
          <w:rFonts w:ascii="Lato" w:hAnsi="Lato" w:cs="Arial"/>
          <w:color w:val="auto"/>
          <w:sz w:val="20"/>
          <w:szCs w:val="20"/>
        </w:rPr>
        <w:t>konstrukcji betonowych lub żelbetowych lub kwoty ryczałtowe uwzględniają:</w:t>
      </w:r>
    </w:p>
    <w:p w14:paraId="2F370EF8" w14:textId="77777777" w:rsidR="00163219" w:rsidRPr="003E4273" w:rsidRDefault="002C2B59" w:rsidP="00191A05">
      <w:pPr>
        <w:numPr>
          <w:ilvl w:val="0"/>
          <w:numId w:val="22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przygotowanie stanowiska roboczego,</w:t>
      </w:r>
    </w:p>
    <w:p w14:paraId="6E461044" w14:textId="77777777" w:rsidR="00163219" w:rsidRPr="003E4273" w:rsidRDefault="002C2B59" w:rsidP="00191A05">
      <w:pPr>
        <w:numPr>
          <w:ilvl w:val="0"/>
          <w:numId w:val="22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dostarczenie do stanowiska roboczego materiałów, narzędzi i sprzętu,</w:t>
      </w:r>
    </w:p>
    <w:p w14:paraId="10EAE82F" w14:textId="77777777" w:rsidR="00163219" w:rsidRPr="003E4273" w:rsidRDefault="002C2B59" w:rsidP="00191A05">
      <w:pPr>
        <w:numPr>
          <w:ilvl w:val="0"/>
          <w:numId w:val="22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obsługę sprzętu,</w:t>
      </w:r>
    </w:p>
    <w:p w14:paraId="1EDA00B5" w14:textId="77777777" w:rsidR="00163219" w:rsidRPr="003E4273" w:rsidRDefault="002C2B59" w:rsidP="00191A05">
      <w:pPr>
        <w:numPr>
          <w:ilvl w:val="0"/>
          <w:numId w:val="22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 xml:space="preserve">montaż rusztowań z pomostami i </w:t>
      </w:r>
      <w:proofErr w:type="spellStart"/>
      <w:r w:rsidRPr="003E4273">
        <w:rPr>
          <w:rFonts w:ascii="Lato" w:hAnsi="Lato" w:cs="Arial"/>
          <w:color w:val="auto"/>
          <w:sz w:val="20"/>
          <w:szCs w:val="20"/>
        </w:rPr>
        <w:t>deskowań</w:t>
      </w:r>
      <w:proofErr w:type="spellEnd"/>
      <w:r w:rsidRPr="003E4273">
        <w:rPr>
          <w:rFonts w:ascii="Lato" w:hAnsi="Lato" w:cs="Arial"/>
          <w:color w:val="auto"/>
          <w:sz w:val="20"/>
          <w:szCs w:val="20"/>
        </w:rPr>
        <w:t>,</w:t>
      </w:r>
    </w:p>
    <w:p w14:paraId="2C59EAFC" w14:textId="77777777" w:rsidR="00163219" w:rsidRPr="003E4273" w:rsidRDefault="002C2B59" w:rsidP="00191A05">
      <w:pPr>
        <w:numPr>
          <w:ilvl w:val="0"/>
          <w:numId w:val="22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przygotowanie mieszanki betonowej wraz z wbudowaniem w konstrukcję oraz z zagęszczeniem i pielęgnacją,</w:t>
      </w:r>
    </w:p>
    <w:p w14:paraId="1098871D" w14:textId="77777777" w:rsidR="00163219" w:rsidRPr="003E4273" w:rsidRDefault="002C2B59" w:rsidP="00191A05">
      <w:pPr>
        <w:numPr>
          <w:ilvl w:val="0"/>
          <w:numId w:val="22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wykonanie przerw dylatacyjnych,</w:t>
      </w:r>
    </w:p>
    <w:p w14:paraId="4684148A" w14:textId="77777777" w:rsidR="00163219" w:rsidRPr="003E4273" w:rsidRDefault="002C2B59" w:rsidP="00191A05">
      <w:pPr>
        <w:numPr>
          <w:ilvl w:val="0"/>
          <w:numId w:val="22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wykonanie w konstrukcji wszystkich wymaganych projektem otworów, jak również osadzenie potrzebnych zakotwień, marek, rur itp.,</w:t>
      </w:r>
    </w:p>
    <w:p w14:paraId="5414C407" w14:textId="77777777" w:rsidR="00163219" w:rsidRPr="003E4273" w:rsidRDefault="002C2B59" w:rsidP="00191A05">
      <w:pPr>
        <w:numPr>
          <w:ilvl w:val="0"/>
          <w:numId w:val="22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 xml:space="preserve">demontaż </w:t>
      </w:r>
      <w:proofErr w:type="spellStart"/>
      <w:r w:rsidRPr="003E4273">
        <w:rPr>
          <w:rFonts w:ascii="Lato" w:hAnsi="Lato" w:cs="Arial"/>
          <w:color w:val="auto"/>
          <w:sz w:val="20"/>
          <w:szCs w:val="20"/>
        </w:rPr>
        <w:t>deskowań</w:t>
      </w:r>
      <w:proofErr w:type="spellEnd"/>
      <w:r w:rsidRPr="003E4273">
        <w:rPr>
          <w:rFonts w:ascii="Lato" w:hAnsi="Lato" w:cs="Arial"/>
          <w:color w:val="auto"/>
          <w:sz w:val="20"/>
          <w:szCs w:val="20"/>
        </w:rPr>
        <w:t>, rusztowań i pomostów wraz z ich oczyszczeniem,</w:t>
      </w:r>
    </w:p>
    <w:p w14:paraId="3BB12ED7" w14:textId="77777777" w:rsidR="00163219" w:rsidRPr="003E4273" w:rsidRDefault="002C2B59" w:rsidP="00191A05">
      <w:pPr>
        <w:numPr>
          <w:ilvl w:val="0"/>
          <w:numId w:val="22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lastRenderedPageBreak/>
        <w:t>oczyszczenie stanowiska pracy i usunięcie, będących własnością wykonawcy, materiałów rozbiórkowych i urządzeń,</w:t>
      </w:r>
    </w:p>
    <w:p w14:paraId="403BB785" w14:textId="77777777" w:rsidR="0032475B" w:rsidRPr="003E4273" w:rsidRDefault="002C2B59" w:rsidP="00191A05">
      <w:pPr>
        <w:numPr>
          <w:ilvl w:val="0"/>
          <w:numId w:val="22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wykonanie badań i pomiarów kontrolnych standardowych,</w:t>
      </w:r>
    </w:p>
    <w:p w14:paraId="1EA1C1A4" w14:textId="3AFB782F" w:rsidR="00E574E9" w:rsidRPr="003E4273" w:rsidRDefault="002C2B59" w:rsidP="00E574E9">
      <w:pPr>
        <w:numPr>
          <w:ilvl w:val="0"/>
          <w:numId w:val="22"/>
        </w:numPr>
        <w:spacing w:after="0"/>
        <w:ind w:right="0" w:hanging="420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>koszty pośrednie, zysk kalkulacyjny i ryzyko.</w:t>
      </w:r>
    </w:p>
    <w:p w14:paraId="61B5CC6C" w14:textId="77777777" w:rsidR="00E574E9" w:rsidRPr="003E4273" w:rsidRDefault="00E574E9" w:rsidP="0032475B">
      <w:pPr>
        <w:spacing w:after="0"/>
        <w:ind w:right="0"/>
        <w:rPr>
          <w:rFonts w:ascii="Lato" w:hAnsi="Lato" w:cs="Arial"/>
          <w:color w:val="auto"/>
          <w:sz w:val="20"/>
          <w:szCs w:val="20"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75"/>
        <w:gridCol w:w="2876"/>
        <w:gridCol w:w="6336"/>
      </w:tblGrid>
      <w:tr w:rsidR="00042354" w:rsidRPr="003E4273" w14:paraId="739925FB" w14:textId="77777777" w:rsidTr="00272AEB">
        <w:trPr>
          <w:trHeight w:val="539"/>
        </w:trPr>
        <w:tc>
          <w:tcPr>
            <w:tcW w:w="3114" w:type="dxa"/>
            <w:gridSpan w:val="2"/>
          </w:tcPr>
          <w:p w14:paraId="3866D6DF" w14:textId="77777777" w:rsidR="00163219" w:rsidRPr="003E4273" w:rsidRDefault="002C2B59" w:rsidP="00191A05">
            <w:pPr>
              <w:numPr>
                <w:ilvl w:val="0"/>
                <w:numId w:val="25"/>
              </w:numPr>
              <w:spacing w:after="0" w:line="259" w:lineRule="auto"/>
              <w:ind w:right="0" w:hanging="451"/>
              <w:jc w:val="left"/>
              <w:rPr>
                <w:rFonts w:ascii="Lato" w:hAnsi="Lato" w:cs="Arial"/>
                <w:b/>
                <w:bCs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b/>
                <w:bCs/>
                <w:color w:val="auto"/>
                <w:sz w:val="20"/>
                <w:szCs w:val="20"/>
              </w:rPr>
              <w:t>DOKUMENTY ODNIESIENIA</w:t>
            </w:r>
          </w:p>
          <w:p w14:paraId="5C4DF271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10.1. Normy</w:t>
            </w:r>
          </w:p>
        </w:tc>
        <w:tc>
          <w:tcPr>
            <w:tcW w:w="6363" w:type="dxa"/>
          </w:tcPr>
          <w:p w14:paraId="355AB331" w14:textId="77777777" w:rsidR="00163219" w:rsidRPr="003E4273" w:rsidRDefault="0016321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</w:p>
        </w:tc>
      </w:tr>
      <w:tr w:rsidR="00042354" w:rsidRPr="003E4273" w14:paraId="7660542F" w14:textId="77777777" w:rsidTr="00272AEB">
        <w:trPr>
          <w:trHeight w:val="577"/>
        </w:trPr>
        <w:tc>
          <w:tcPr>
            <w:tcW w:w="3114" w:type="dxa"/>
            <w:gridSpan w:val="2"/>
          </w:tcPr>
          <w:p w14:paraId="5552FD73" w14:textId="53273A64" w:rsidR="00163219" w:rsidRPr="003E4273" w:rsidRDefault="002C2B59" w:rsidP="00E574E9">
            <w:pPr>
              <w:tabs>
                <w:tab w:val="center" w:pos="1701"/>
              </w:tabs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1.PN-EN 196-1:20</w:t>
            </w:r>
            <w:r w:rsidR="00185B12" w:rsidRPr="003E4273">
              <w:rPr>
                <w:rFonts w:ascii="Lato" w:hAnsi="Lato" w:cs="Arial"/>
                <w:color w:val="auto"/>
                <w:sz w:val="20"/>
                <w:szCs w:val="20"/>
              </w:rPr>
              <w:t>1</w:t>
            </w: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6</w:t>
            </w:r>
            <w:r w:rsidR="00185B12" w:rsidRPr="003E4273">
              <w:rPr>
                <w:rFonts w:ascii="Lato" w:hAnsi="Lato" w:cs="Arial"/>
                <w:color w:val="auto"/>
                <w:sz w:val="20"/>
                <w:szCs w:val="20"/>
              </w:rPr>
              <w:t>-07</w:t>
            </w:r>
          </w:p>
        </w:tc>
        <w:tc>
          <w:tcPr>
            <w:tcW w:w="6363" w:type="dxa"/>
          </w:tcPr>
          <w:p w14:paraId="6BD21AF0" w14:textId="77777777" w:rsidR="00163219" w:rsidRPr="003E4273" w:rsidRDefault="002C2B59" w:rsidP="00191A05">
            <w:pPr>
              <w:spacing w:after="0" w:line="259" w:lineRule="auto"/>
              <w:ind w:left="0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Metody badania cementu. Część 1: Oznaczanie wytrzymałości.</w:t>
            </w:r>
          </w:p>
        </w:tc>
      </w:tr>
      <w:tr w:rsidR="00042354" w:rsidRPr="003E4273" w14:paraId="6077A10A" w14:textId="77777777" w:rsidTr="00272AEB">
        <w:trPr>
          <w:trHeight w:val="454"/>
        </w:trPr>
        <w:tc>
          <w:tcPr>
            <w:tcW w:w="3114" w:type="dxa"/>
            <w:gridSpan w:val="2"/>
          </w:tcPr>
          <w:p w14:paraId="688A7799" w14:textId="0D8AF608" w:rsidR="00163219" w:rsidRPr="003E4273" w:rsidRDefault="002C2B59" w:rsidP="00E574E9">
            <w:pPr>
              <w:tabs>
                <w:tab w:val="center" w:pos="1701"/>
              </w:tabs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2.PN-EN 196-2:2006</w:t>
            </w:r>
          </w:p>
        </w:tc>
        <w:tc>
          <w:tcPr>
            <w:tcW w:w="6363" w:type="dxa"/>
          </w:tcPr>
          <w:p w14:paraId="231B1169" w14:textId="77777777" w:rsidR="00163219" w:rsidRPr="003E4273" w:rsidRDefault="002C2B59" w:rsidP="00191A05">
            <w:pPr>
              <w:spacing w:after="0" w:line="259" w:lineRule="auto"/>
              <w:ind w:left="0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Metody badania cementu. Część 2: Analiza chemiczna cementu.</w:t>
            </w:r>
          </w:p>
        </w:tc>
      </w:tr>
      <w:tr w:rsidR="00042354" w:rsidRPr="003E4273" w14:paraId="7882FEAA" w14:textId="77777777" w:rsidTr="00272AEB">
        <w:trPr>
          <w:trHeight w:val="562"/>
        </w:trPr>
        <w:tc>
          <w:tcPr>
            <w:tcW w:w="3114" w:type="dxa"/>
            <w:gridSpan w:val="2"/>
          </w:tcPr>
          <w:p w14:paraId="6869E9CD" w14:textId="2A5DBCF0" w:rsidR="00163219" w:rsidRPr="003E4273" w:rsidRDefault="002C2B59" w:rsidP="00E574E9">
            <w:pPr>
              <w:spacing w:after="0" w:line="259" w:lineRule="auto"/>
              <w:ind w:left="284" w:right="1184" w:hanging="284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3.PN-EN 196-3:20</w:t>
            </w:r>
            <w:r w:rsidR="004448A7" w:rsidRPr="003E4273">
              <w:rPr>
                <w:rFonts w:ascii="Lato" w:hAnsi="Lato" w:cs="Arial"/>
                <w:color w:val="auto"/>
                <w:sz w:val="20"/>
                <w:szCs w:val="20"/>
              </w:rPr>
              <w:t xml:space="preserve">16-12 </w:t>
            </w:r>
          </w:p>
        </w:tc>
        <w:tc>
          <w:tcPr>
            <w:tcW w:w="6363" w:type="dxa"/>
          </w:tcPr>
          <w:p w14:paraId="423B5043" w14:textId="77777777" w:rsidR="00163219" w:rsidRPr="003E4273" w:rsidRDefault="002C2B59" w:rsidP="00191A05">
            <w:pPr>
              <w:spacing w:after="0" w:line="259" w:lineRule="auto"/>
              <w:ind w:left="0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Metody badania cementu. Część 3: Oznaczanie czasu wiązania i stałości objętości.</w:t>
            </w:r>
          </w:p>
        </w:tc>
      </w:tr>
      <w:tr w:rsidR="00042354" w:rsidRPr="003E4273" w14:paraId="3783051A" w14:textId="77777777" w:rsidTr="00272AEB">
        <w:trPr>
          <w:trHeight w:val="545"/>
        </w:trPr>
        <w:tc>
          <w:tcPr>
            <w:tcW w:w="0" w:type="auto"/>
          </w:tcPr>
          <w:p w14:paraId="05C023D6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4.</w:t>
            </w:r>
          </w:p>
        </w:tc>
        <w:tc>
          <w:tcPr>
            <w:tcW w:w="2881" w:type="dxa"/>
          </w:tcPr>
          <w:p w14:paraId="372B8CA1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PN-EN 196-6:1997</w:t>
            </w:r>
          </w:p>
          <w:p w14:paraId="1CBEC5B2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PN-EN 196-6:2010</w:t>
            </w:r>
          </w:p>
        </w:tc>
        <w:tc>
          <w:tcPr>
            <w:tcW w:w="6363" w:type="dxa"/>
          </w:tcPr>
          <w:p w14:paraId="5DB302E5" w14:textId="77777777" w:rsidR="00163219" w:rsidRPr="003E4273" w:rsidRDefault="002C2B59" w:rsidP="00191A05">
            <w:pPr>
              <w:spacing w:after="0" w:line="259" w:lineRule="auto"/>
              <w:ind w:left="0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Metody badania cementu. Część 6: Oznaczanie stopnia zmielenia.</w:t>
            </w:r>
          </w:p>
        </w:tc>
      </w:tr>
      <w:tr w:rsidR="00042354" w:rsidRPr="003E4273" w14:paraId="2023B95F" w14:textId="77777777" w:rsidTr="00272AEB">
        <w:trPr>
          <w:trHeight w:val="468"/>
        </w:trPr>
        <w:tc>
          <w:tcPr>
            <w:tcW w:w="0" w:type="auto"/>
          </w:tcPr>
          <w:p w14:paraId="38677E3A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5.</w:t>
            </w:r>
          </w:p>
        </w:tc>
        <w:tc>
          <w:tcPr>
            <w:tcW w:w="2881" w:type="dxa"/>
          </w:tcPr>
          <w:p w14:paraId="7562515B" w14:textId="2D706571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PN-EN 197-1:20</w:t>
            </w:r>
            <w:r w:rsidR="00ED7C61" w:rsidRPr="003E4273">
              <w:rPr>
                <w:rFonts w:ascii="Lato" w:hAnsi="Lato" w:cs="Arial"/>
                <w:color w:val="auto"/>
                <w:sz w:val="20"/>
                <w:szCs w:val="20"/>
              </w:rPr>
              <w:t>1</w:t>
            </w: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 xml:space="preserve">2 </w:t>
            </w:r>
          </w:p>
          <w:p w14:paraId="57D80B8A" w14:textId="756D91E1" w:rsidR="00163219" w:rsidRPr="003E4273" w:rsidRDefault="0016321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</w:p>
        </w:tc>
        <w:tc>
          <w:tcPr>
            <w:tcW w:w="6363" w:type="dxa"/>
          </w:tcPr>
          <w:p w14:paraId="163F9429" w14:textId="77777777" w:rsidR="00163219" w:rsidRPr="003E4273" w:rsidRDefault="002C2B59" w:rsidP="00191A05">
            <w:pPr>
              <w:spacing w:after="0" w:line="259" w:lineRule="auto"/>
              <w:ind w:left="0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Cement. Część 1: Skład, wymagania i kryteria zgodności dla cementu powszechnego użytku.</w:t>
            </w:r>
          </w:p>
        </w:tc>
      </w:tr>
      <w:tr w:rsidR="00042354" w:rsidRPr="003E4273" w14:paraId="59D6C50E" w14:textId="77777777" w:rsidTr="00272AEB">
        <w:trPr>
          <w:trHeight w:val="350"/>
        </w:trPr>
        <w:tc>
          <w:tcPr>
            <w:tcW w:w="0" w:type="auto"/>
          </w:tcPr>
          <w:p w14:paraId="158B2823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6.</w:t>
            </w:r>
          </w:p>
        </w:tc>
        <w:tc>
          <w:tcPr>
            <w:tcW w:w="2881" w:type="dxa"/>
          </w:tcPr>
          <w:p w14:paraId="168F8A27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PN-EN 197-2:2002</w:t>
            </w:r>
          </w:p>
        </w:tc>
        <w:tc>
          <w:tcPr>
            <w:tcW w:w="6363" w:type="dxa"/>
          </w:tcPr>
          <w:p w14:paraId="1BB3BFEE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Cement. Część 2: Ocena zgodności.</w:t>
            </w:r>
          </w:p>
        </w:tc>
      </w:tr>
      <w:tr w:rsidR="00042354" w:rsidRPr="003E4273" w14:paraId="62D6A7EE" w14:textId="77777777" w:rsidTr="00272AEB">
        <w:trPr>
          <w:trHeight w:val="574"/>
        </w:trPr>
        <w:tc>
          <w:tcPr>
            <w:tcW w:w="0" w:type="auto"/>
          </w:tcPr>
          <w:p w14:paraId="1F52A1C0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7.</w:t>
            </w:r>
          </w:p>
        </w:tc>
        <w:tc>
          <w:tcPr>
            <w:tcW w:w="2881" w:type="dxa"/>
          </w:tcPr>
          <w:p w14:paraId="4013F94C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PN-EN 932-1:1999</w:t>
            </w:r>
          </w:p>
        </w:tc>
        <w:tc>
          <w:tcPr>
            <w:tcW w:w="6363" w:type="dxa"/>
          </w:tcPr>
          <w:p w14:paraId="594FBB70" w14:textId="77777777" w:rsidR="00163219" w:rsidRPr="003E4273" w:rsidRDefault="002C2B59" w:rsidP="00191A05">
            <w:pPr>
              <w:spacing w:after="0" w:line="259" w:lineRule="auto"/>
              <w:ind w:left="0" w:right="1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Badania podstawowych właściwości kruszyw – Część 1: Metody pobierania próbek.</w:t>
            </w:r>
          </w:p>
        </w:tc>
      </w:tr>
      <w:tr w:rsidR="00042354" w:rsidRPr="003E4273" w14:paraId="0049FA3F" w14:textId="77777777" w:rsidTr="00272AEB">
        <w:trPr>
          <w:trHeight w:val="412"/>
        </w:trPr>
        <w:tc>
          <w:tcPr>
            <w:tcW w:w="0" w:type="auto"/>
          </w:tcPr>
          <w:p w14:paraId="5FF5330B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8.</w:t>
            </w:r>
          </w:p>
        </w:tc>
        <w:tc>
          <w:tcPr>
            <w:tcW w:w="2881" w:type="dxa"/>
          </w:tcPr>
          <w:p w14:paraId="5CB4282D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PN-EN 932-2:2001</w:t>
            </w:r>
          </w:p>
        </w:tc>
        <w:tc>
          <w:tcPr>
            <w:tcW w:w="6363" w:type="dxa"/>
          </w:tcPr>
          <w:p w14:paraId="067637DE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Badania</w:t>
            </w: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ab/>
              <w:t xml:space="preserve"> podstawowych</w:t>
            </w: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ab/>
              <w:t xml:space="preserve"> właściwości kruszyw – Część 2: Metody pomniejszania próbek laboratoryjnych.</w:t>
            </w:r>
          </w:p>
        </w:tc>
      </w:tr>
      <w:tr w:rsidR="00042354" w:rsidRPr="003E4273" w14:paraId="62DFC8BF" w14:textId="77777777" w:rsidTr="00272AEB">
        <w:trPr>
          <w:trHeight w:val="560"/>
        </w:trPr>
        <w:tc>
          <w:tcPr>
            <w:tcW w:w="0" w:type="auto"/>
          </w:tcPr>
          <w:p w14:paraId="3111F803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9.</w:t>
            </w:r>
          </w:p>
        </w:tc>
        <w:tc>
          <w:tcPr>
            <w:tcW w:w="2881" w:type="dxa"/>
          </w:tcPr>
          <w:p w14:paraId="19645C9E" w14:textId="6761D424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PN-EN 932-3:</w:t>
            </w:r>
            <w:r w:rsidR="00423D23" w:rsidRPr="003E4273">
              <w:rPr>
                <w:rFonts w:ascii="Lato" w:hAnsi="Lato" w:cs="Arial"/>
                <w:color w:val="auto"/>
                <w:sz w:val="20"/>
                <w:szCs w:val="20"/>
              </w:rPr>
              <w:t>2022-12</w:t>
            </w:r>
          </w:p>
          <w:p w14:paraId="3A41CCE0" w14:textId="3ED0CB75" w:rsidR="00163219" w:rsidRPr="003E4273" w:rsidRDefault="0016321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</w:p>
        </w:tc>
        <w:tc>
          <w:tcPr>
            <w:tcW w:w="6363" w:type="dxa"/>
          </w:tcPr>
          <w:p w14:paraId="095D7F0D" w14:textId="77777777" w:rsidR="00163219" w:rsidRPr="003E4273" w:rsidRDefault="002C2B59" w:rsidP="00191A05">
            <w:pPr>
              <w:spacing w:after="0" w:line="259" w:lineRule="auto"/>
              <w:ind w:left="0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Badania podstawowych właściwości kruszyw – Część 3: Procedura i terminologia uproszczonego opisu petrograficznego.</w:t>
            </w:r>
          </w:p>
        </w:tc>
      </w:tr>
      <w:tr w:rsidR="00042354" w:rsidRPr="003E4273" w14:paraId="43160A1F" w14:textId="77777777" w:rsidTr="00272AEB">
        <w:trPr>
          <w:trHeight w:val="554"/>
        </w:trPr>
        <w:tc>
          <w:tcPr>
            <w:tcW w:w="0" w:type="auto"/>
          </w:tcPr>
          <w:p w14:paraId="3E253BFA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10.</w:t>
            </w:r>
          </w:p>
        </w:tc>
        <w:tc>
          <w:tcPr>
            <w:tcW w:w="2881" w:type="dxa"/>
          </w:tcPr>
          <w:p w14:paraId="357AB193" w14:textId="38BD3DBA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PN-EN 932-5:20</w:t>
            </w:r>
            <w:r w:rsidR="00423D23" w:rsidRPr="003E4273">
              <w:rPr>
                <w:rFonts w:ascii="Lato" w:hAnsi="Lato" w:cs="Arial"/>
                <w:color w:val="auto"/>
                <w:sz w:val="20"/>
                <w:szCs w:val="20"/>
              </w:rPr>
              <w:t>12/AC:2014-07</w:t>
            </w:r>
          </w:p>
        </w:tc>
        <w:tc>
          <w:tcPr>
            <w:tcW w:w="6363" w:type="dxa"/>
          </w:tcPr>
          <w:p w14:paraId="3EFB2061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Badania</w:t>
            </w: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ab/>
              <w:t xml:space="preserve"> podstawowych</w:t>
            </w: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ab/>
              <w:t xml:space="preserve"> właściwości kruszyw</w:t>
            </w: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ab/>
              <w:t xml:space="preserve"> –</w:t>
            </w: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ab/>
              <w:t xml:space="preserve"> Część</w:t>
            </w: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ab/>
              <w:t xml:space="preserve"> 5:</w:t>
            </w: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ab/>
              <w:t xml:space="preserve"> Wyposażenie podstawowe i wzorcowanie.</w:t>
            </w:r>
          </w:p>
        </w:tc>
      </w:tr>
      <w:tr w:rsidR="00042354" w:rsidRPr="003E4273" w14:paraId="7C18F2DC" w14:textId="77777777" w:rsidTr="00272AEB">
        <w:trPr>
          <w:trHeight w:val="562"/>
        </w:trPr>
        <w:tc>
          <w:tcPr>
            <w:tcW w:w="0" w:type="auto"/>
          </w:tcPr>
          <w:p w14:paraId="3F8F1BC8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11.</w:t>
            </w:r>
          </w:p>
        </w:tc>
        <w:tc>
          <w:tcPr>
            <w:tcW w:w="2881" w:type="dxa"/>
          </w:tcPr>
          <w:p w14:paraId="70299D4C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PN-EN 932-6:2002</w:t>
            </w:r>
          </w:p>
        </w:tc>
        <w:tc>
          <w:tcPr>
            <w:tcW w:w="6363" w:type="dxa"/>
          </w:tcPr>
          <w:p w14:paraId="07845E0E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Badania</w:t>
            </w: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ab/>
              <w:t xml:space="preserve"> podstawowych</w:t>
            </w: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ab/>
              <w:t xml:space="preserve"> właściwości kruszyw</w:t>
            </w: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ab/>
              <w:t xml:space="preserve"> –</w:t>
            </w: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ab/>
              <w:t xml:space="preserve"> Część</w:t>
            </w: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ab/>
              <w:t xml:space="preserve"> 6:</w:t>
            </w: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ab/>
              <w:t xml:space="preserve"> Definicje powtarzalności i odtwarzalności.</w:t>
            </w:r>
          </w:p>
        </w:tc>
      </w:tr>
      <w:tr w:rsidR="00042354" w:rsidRPr="003E4273" w14:paraId="28A7F06D" w14:textId="77777777" w:rsidTr="00272AEB">
        <w:trPr>
          <w:trHeight w:val="570"/>
        </w:trPr>
        <w:tc>
          <w:tcPr>
            <w:tcW w:w="0" w:type="auto"/>
          </w:tcPr>
          <w:p w14:paraId="6429CF77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12.</w:t>
            </w:r>
          </w:p>
        </w:tc>
        <w:tc>
          <w:tcPr>
            <w:tcW w:w="2881" w:type="dxa"/>
          </w:tcPr>
          <w:p w14:paraId="7A1178F6" w14:textId="46B4D9FA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PN-EN 933-1:2</w:t>
            </w:r>
            <w:r w:rsidR="006D0B82" w:rsidRPr="003E4273">
              <w:rPr>
                <w:rFonts w:ascii="Lato" w:hAnsi="Lato" w:cs="Arial"/>
                <w:color w:val="auto"/>
                <w:sz w:val="20"/>
                <w:szCs w:val="20"/>
              </w:rPr>
              <w:t>012</w:t>
            </w:r>
          </w:p>
        </w:tc>
        <w:tc>
          <w:tcPr>
            <w:tcW w:w="6363" w:type="dxa"/>
          </w:tcPr>
          <w:p w14:paraId="0B5A7785" w14:textId="77777777" w:rsidR="00163219" w:rsidRPr="003E4273" w:rsidRDefault="002C2B59" w:rsidP="00191A05">
            <w:pPr>
              <w:spacing w:after="0" w:line="259" w:lineRule="auto"/>
              <w:ind w:left="0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Badanie geometrycznych właściwości kruszyw – Część 1: Oznaczenie składu ziarnowego – Metoda przesiewowa.</w:t>
            </w:r>
          </w:p>
        </w:tc>
      </w:tr>
      <w:tr w:rsidR="00042354" w:rsidRPr="003E4273" w14:paraId="2AB1A81B" w14:textId="77777777" w:rsidTr="00272AEB">
        <w:trPr>
          <w:trHeight w:val="550"/>
        </w:trPr>
        <w:tc>
          <w:tcPr>
            <w:tcW w:w="0" w:type="auto"/>
          </w:tcPr>
          <w:p w14:paraId="4DBF4789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13.</w:t>
            </w:r>
          </w:p>
        </w:tc>
        <w:tc>
          <w:tcPr>
            <w:tcW w:w="2881" w:type="dxa"/>
          </w:tcPr>
          <w:p w14:paraId="3E28269D" w14:textId="0D2E5B31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PN-EN 933-2:</w:t>
            </w:r>
            <w:r w:rsidR="006D0B82" w:rsidRPr="003E4273">
              <w:rPr>
                <w:rFonts w:ascii="Lato" w:hAnsi="Lato" w:cs="Arial"/>
                <w:color w:val="auto"/>
                <w:sz w:val="20"/>
                <w:szCs w:val="20"/>
              </w:rPr>
              <w:t>2021-01</w:t>
            </w:r>
          </w:p>
        </w:tc>
        <w:tc>
          <w:tcPr>
            <w:tcW w:w="6363" w:type="dxa"/>
          </w:tcPr>
          <w:p w14:paraId="255E38B1" w14:textId="3973101F" w:rsidR="00163219" w:rsidRPr="003E4273" w:rsidRDefault="002C2B59" w:rsidP="00191A05">
            <w:pPr>
              <w:spacing w:after="0" w:line="259" w:lineRule="auto"/>
              <w:ind w:left="0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Badanie geometrycznych właściwości kruszyw –</w:t>
            </w:r>
            <w:r w:rsidR="006D0B82" w:rsidRPr="003E4273">
              <w:rPr>
                <w:rFonts w:ascii="Lato" w:hAnsi="Lato" w:cs="Arial"/>
                <w:color w:val="auto"/>
                <w:sz w:val="20"/>
                <w:szCs w:val="20"/>
              </w:rPr>
              <w:t xml:space="preserve"> </w:t>
            </w: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Oznaczenie składu ziarnowego – Nominalne wymiary otworów sit badawczych.</w:t>
            </w:r>
          </w:p>
        </w:tc>
      </w:tr>
      <w:tr w:rsidR="00042354" w:rsidRPr="003E4273" w14:paraId="1C633A1E" w14:textId="77777777" w:rsidTr="00272AEB">
        <w:trPr>
          <w:trHeight w:val="558"/>
        </w:trPr>
        <w:tc>
          <w:tcPr>
            <w:tcW w:w="0" w:type="auto"/>
          </w:tcPr>
          <w:p w14:paraId="7C8AEA6C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14.</w:t>
            </w:r>
          </w:p>
        </w:tc>
        <w:tc>
          <w:tcPr>
            <w:tcW w:w="2881" w:type="dxa"/>
          </w:tcPr>
          <w:p w14:paraId="3762E8FD" w14:textId="48CD28A2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PN-EN 933-3:</w:t>
            </w:r>
            <w:r w:rsidR="00CA5847" w:rsidRPr="003E4273">
              <w:rPr>
                <w:rFonts w:ascii="Lato" w:hAnsi="Lato" w:cs="Arial"/>
                <w:color w:val="auto"/>
                <w:sz w:val="20"/>
                <w:szCs w:val="20"/>
              </w:rPr>
              <w:t>2012</w:t>
            </w:r>
          </w:p>
        </w:tc>
        <w:tc>
          <w:tcPr>
            <w:tcW w:w="6363" w:type="dxa"/>
          </w:tcPr>
          <w:p w14:paraId="6890F711" w14:textId="77777777" w:rsidR="00163219" w:rsidRPr="003E4273" w:rsidRDefault="002C2B59" w:rsidP="00191A05">
            <w:pPr>
              <w:spacing w:after="0" w:line="259" w:lineRule="auto"/>
              <w:ind w:left="0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Badania geometrycznych właściwości kruszyw – Część 3: Oznaczanie kształtu ziaren za pomocą wskaźnika płaskości.</w:t>
            </w:r>
          </w:p>
        </w:tc>
      </w:tr>
      <w:tr w:rsidR="00042354" w:rsidRPr="003E4273" w14:paraId="5E84B393" w14:textId="77777777" w:rsidTr="00272AEB">
        <w:trPr>
          <w:trHeight w:val="552"/>
        </w:trPr>
        <w:tc>
          <w:tcPr>
            <w:tcW w:w="0" w:type="auto"/>
          </w:tcPr>
          <w:p w14:paraId="25B95CCD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15.</w:t>
            </w:r>
          </w:p>
        </w:tc>
        <w:tc>
          <w:tcPr>
            <w:tcW w:w="2881" w:type="dxa"/>
          </w:tcPr>
          <w:p w14:paraId="5329FE63" w14:textId="04BF5EB4" w:rsidR="00163219" w:rsidRPr="003E4273" w:rsidRDefault="002C2B59" w:rsidP="00191A05">
            <w:pPr>
              <w:spacing w:after="0" w:line="259" w:lineRule="auto"/>
              <w:ind w:left="0" w:right="1184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PN-EN 933-4:20</w:t>
            </w:r>
            <w:r w:rsidR="00CA5847" w:rsidRPr="003E4273">
              <w:rPr>
                <w:rFonts w:ascii="Lato" w:hAnsi="Lato" w:cs="Arial"/>
                <w:color w:val="auto"/>
                <w:sz w:val="20"/>
                <w:szCs w:val="20"/>
              </w:rPr>
              <w:t>08</w:t>
            </w:r>
          </w:p>
        </w:tc>
        <w:tc>
          <w:tcPr>
            <w:tcW w:w="6363" w:type="dxa"/>
          </w:tcPr>
          <w:p w14:paraId="0D10F49C" w14:textId="77777777" w:rsidR="00163219" w:rsidRPr="003E4273" w:rsidRDefault="002C2B59" w:rsidP="00191A05">
            <w:pPr>
              <w:spacing w:after="0" w:line="259" w:lineRule="auto"/>
              <w:ind w:left="0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Badanie geometrycznych właściwości kruszyw – Część 4: Oznaczanie kształtu ziaren – Wskaźnik kształtu.</w:t>
            </w:r>
          </w:p>
        </w:tc>
      </w:tr>
      <w:tr w:rsidR="00042354" w:rsidRPr="003E4273" w14:paraId="64EC66E4" w14:textId="77777777" w:rsidTr="00272AEB">
        <w:trPr>
          <w:trHeight w:val="688"/>
        </w:trPr>
        <w:tc>
          <w:tcPr>
            <w:tcW w:w="0" w:type="auto"/>
          </w:tcPr>
          <w:p w14:paraId="23EA035E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16.</w:t>
            </w:r>
          </w:p>
        </w:tc>
        <w:tc>
          <w:tcPr>
            <w:tcW w:w="2881" w:type="dxa"/>
          </w:tcPr>
          <w:p w14:paraId="24C567FA" w14:textId="0B1D08D4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PN-EN 933-5:20</w:t>
            </w:r>
            <w:r w:rsidR="00CA5847" w:rsidRPr="003E4273">
              <w:rPr>
                <w:rFonts w:ascii="Lato" w:hAnsi="Lato" w:cs="Arial"/>
                <w:color w:val="auto"/>
                <w:sz w:val="20"/>
                <w:szCs w:val="20"/>
              </w:rPr>
              <w:t>23-05</w:t>
            </w:r>
          </w:p>
        </w:tc>
        <w:tc>
          <w:tcPr>
            <w:tcW w:w="6363" w:type="dxa"/>
          </w:tcPr>
          <w:p w14:paraId="44329E36" w14:textId="1A7502C8" w:rsidR="00163219" w:rsidRPr="003E4273" w:rsidRDefault="00CA5847" w:rsidP="00191A05">
            <w:pPr>
              <w:spacing w:after="0" w:line="259" w:lineRule="auto"/>
              <w:ind w:left="0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 xml:space="preserve">Badania geometrycznych właściwości kruszyw -- Część 5: Oznaczanie procentowej zawartości </w:t>
            </w:r>
            <w:proofErr w:type="spellStart"/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ziarn</w:t>
            </w:r>
            <w:proofErr w:type="spellEnd"/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przekruszonych</w:t>
            </w:r>
            <w:proofErr w:type="spellEnd"/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 xml:space="preserve"> w kruszywie o grubym i o ciągłym uziarnieniu</w:t>
            </w:r>
          </w:p>
        </w:tc>
      </w:tr>
      <w:tr w:rsidR="00042354" w:rsidRPr="003E4273" w14:paraId="4532AF0C" w14:textId="77777777" w:rsidTr="00272AEB">
        <w:trPr>
          <w:trHeight w:val="570"/>
        </w:trPr>
        <w:tc>
          <w:tcPr>
            <w:tcW w:w="0" w:type="auto"/>
          </w:tcPr>
          <w:p w14:paraId="5C341A89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17.</w:t>
            </w:r>
          </w:p>
        </w:tc>
        <w:tc>
          <w:tcPr>
            <w:tcW w:w="2881" w:type="dxa"/>
          </w:tcPr>
          <w:p w14:paraId="2BF5E2A8" w14:textId="126AB861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  <w:t>PN-EN 933-6</w:t>
            </w:r>
            <w:r w:rsidR="00CA5847" w:rsidRPr="003E4273"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  <w:t>:2023:6</w:t>
            </w:r>
          </w:p>
        </w:tc>
        <w:tc>
          <w:tcPr>
            <w:tcW w:w="6363" w:type="dxa"/>
          </w:tcPr>
          <w:p w14:paraId="1305163C" w14:textId="07AEEABB" w:rsidR="00163219" w:rsidRPr="003E4273" w:rsidRDefault="00CA5847" w:rsidP="00191A05">
            <w:pPr>
              <w:spacing w:after="0" w:line="259" w:lineRule="auto"/>
              <w:ind w:left="0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Badania geometrycznych właściwości kruszyw -- Część 6: Ocena właściwości powierzchni -- Wskaźnik przepływu kruszyw</w:t>
            </w:r>
          </w:p>
        </w:tc>
      </w:tr>
      <w:tr w:rsidR="00042354" w:rsidRPr="003E4273" w14:paraId="0B180AD1" w14:textId="77777777" w:rsidTr="00272AEB">
        <w:trPr>
          <w:trHeight w:val="550"/>
        </w:trPr>
        <w:tc>
          <w:tcPr>
            <w:tcW w:w="0" w:type="auto"/>
          </w:tcPr>
          <w:p w14:paraId="4472427D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18.</w:t>
            </w:r>
          </w:p>
        </w:tc>
        <w:tc>
          <w:tcPr>
            <w:tcW w:w="2881" w:type="dxa"/>
          </w:tcPr>
          <w:p w14:paraId="6E6D9B29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PN-EN 933-7:2000</w:t>
            </w:r>
          </w:p>
        </w:tc>
        <w:tc>
          <w:tcPr>
            <w:tcW w:w="6363" w:type="dxa"/>
          </w:tcPr>
          <w:p w14:paraId="7DE6675B" w14:textId="77777777" w:rsidR="00163219" w:rsidRPr="003E4273" w:rsidRDefault="002C2B59" w:rsidP="00191A05">
            <w:pPr>
              <w:spacing w:after="0" w:line="259" w:lineRule="auto"/>
              <w:ind w:left="0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Badanie geometrycznych właściwości kruszyw – Część 7: Oznaczenie zawartości muszli – Zawartość procentowa muszli w kruszywach grubych.</w:t>
            </w:r>
          </w:p>
        </w:tc>
      </w:tr>
      <w:tr w:rsidR="00163219" w:rsidRPr="003E4273" w14:paraId="60FA85B3" w14:textId="77777777" w:rsidTr="00272AEB">
        <w:trPr>
          <w:trHeight w:val="545"/>
        </w:trPr>
        <w:tc>
          <w:tcPr>
            <w:tcW w:w="0" w:type="auto"/>
          </w:tcPr>
          <w:p w14:paraId="3463B809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19.</w:t>
            </w:r>
          </w:p>
        </w:tc>
        <w:tc>
          <w:tcPr>
            <w:tcW w:w="2881" w:type="dxa"/>
          </w:tcPr>
          <w:p w14:paraId="70980F60" w14:textId="64A0E5FE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PN-EN 933-8:20</w:t>
            </w:r>
            <w:r w:rsidR="00147678" w:rsidRPr="003E4273">
              <w:rPr>
                <w:rFonts w:ascii="Lato" w:hAnsi="Lato" w:cs="Arial"/>
                <w:color w:val="auto"/>
                <w:sz w:val="20"/>
                <w:szCs w:val="20"/>
              </w:rPr>
              <w:t>12</w:t>
            </w:r>
          </w:p>
        </w:tc>
        <w:tc>
          <w:tcPr>
            <w:tcW w:w="6363" w:type="dxa"/>
          </w:tcPr>
          <w:p w14:paraId="43C66107" w14:textId="77777777" w:rsidR="00B83AFC" w:rsidRPr="003E4273" w:rsidRDefault="002C2B59" w:rsidP="00B83AFC">
            <w:pPr>
              <w:spacing w:after="0"/>
              <w:ind w:left="0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Badanie geometrycznych właściwości kruszyw – Część 8: Ocena zawartości</w:t>
            </w:r>
            <w:r w:rsidR="00B83AFC" w:rsidRPr="003E4273">
              <w:rPr>
                <w:rFonts w:ascii="Lato" w:hAnsi="Lato" w:cs="Arial"/>
                <w:color w:val="auto"/>
                <w:sz w:val="20"/>
                <w:szCs w:val="20"/>
              </w:rPr>
              <w:t xml:space="preserve"> drobnych cząstek – Badanie wskaźnika piaskowego.</w:t>
            </w:r>
          </w:p>
          <w:p w14:paraId="1492DB7A" w14:textId="2C8519A5" w:rsidR="00163219" w:rsidRPr="003E4273" w:rsidRDefault="00163219" w:rsidP="00191A05">
            <w:pPr>
              <w:spacing w:after="0" w:line="259" w:lineRule="auto"/>
              <w:ind w:left="0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</w:p>
        </w:tc>
      </w:tr>
    </w:tbl>
    <w:p w14:paraId="05E80E94" w14:textId="09358917" w:rsidR="00163219" w:rsidRPr="003E4273" w:rsidRDefault="00163219" w:rsidP="00B83AFC">
      <w:pPr>
        <w:spacing w:after="0"/>
        <w:ind w:left="0" w:right="0" w:firstLine="0"/>
        <w:rPr>
          <w:rFonts w:ascii="Lato" w:hAnsi="Lato" w:cs="Arial"/>
          <w:color w:val="auto"/>
          <w:sz w:val="20"/>
          <w:szCs w:val="20"/>
        </w:rPr>
      </w:pPr>
    </w:p>
    <w:tbl>
      <w:tblPr>
        <w:tblStyle w:val="TableGrid"/>
        <w:tblW w:w="9499" w:type="dxa"/>
        <w:tblInd w:w="-5" w:type="dxa"/>
        <w:tblLook w:val="04A0" w:firstRow="1" w:lastRow="0" w:firstColumn="1" w:lastColumn="0" w:noHBand="0" w:noVBand="1"/>
      </w:tblPr>
      <w:tblGrid>
        <w:gridCol w:w="284"/>
        <w:gridCol w:w="2835"/>
        <w:gridCol w:w="6237"/>
        <w:gridCol w:w="143"/>
      </w:tblGrid>
      <w:tr w:rsidR="00042354" w:rsidRPr="003E4273" w14:paraId="0ABA7E3B" w14:textId="77777777" w:rsidTr="00F156B0">
        <w:trPr>
          <w:gridAfter w:val="1"/>
          <w:wAfter w:w="143" w:type="dxa"/>
          <w:trHeight w:val="526"/>
        </w:trPr>
        <w:tc>
          <w:tcPr>
            <w:tcW w:w="284" w:type="dxa"/>
          </w:tcPr>
          <w:p w14:paraId="3284027B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20.</w:t>
            </w:r>
          </w:p>
        </w:tc>
        <w:tc>
          <w:tcPr>
            <w:tcW w:w="2835" w:type="dxa"/>
          </w:tcPr>
          <w:p w14:paraId="0D6003CD" w14:textId="3524D56E" w:rsidR="00163219" w:rsidRPr="003E4273" w:rsidRDefault="002C2B59" w:rsidP="00191A05">
            <w:pPr>
              <w:spacing w:after="0" w:line="259" w:lineRule="auto"/>
              <w:ind w:left="0" w:right="1184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PN-EN 933-9:20</w:t>
            </w:r>
            <w:r w:rsidR="00CA5847" w:rsidRPr="003E4273">
              <w:rPr>
                <w:rFonts w:ascii="Lato" w:hAnsi="Lato" w:cs="Arial"/>
                <w:color w:val="auto"/>
                <w:sz w:val="20"/>
                <w:szCs w:val="20"/>
              </w:rPr>
              <w:t>22-07</w:t>
            </w:r>
          </w:p>
        </w:tc>
        <w:tc>
          <w:tcPr>
            <w:tcW w:w="6237" w:type="dxa"/>
          </w:tcPr>
          <w:p w14:paraId="377E7E27" w14:textId="77777777" w:rsidR="00163219" w:rsidRPr="003E4273" w:rsidRDefault="002C2B59" w:rsidP="00191A05">
            <w:pPr>
              <w:spacing w:after="0" w:line="259" w:lineRule="auto"/>
              <w:ind w:left="0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Badanie geometrycznych właściwości kruszyw – Część 9: Ocena zawartości drobnych cząstek – Badanie błękitem metylenowym.</w:t>
            </w:r>
          </w:p>
        </w:tc>
      </w:tr>
      <w:tr w:rsidR="00042354" w:rsidRPr="003E4273" w14:paraId="403EE9F5" w14:textId="77777777" w:rsidTr="00F156B0">
        <w:trPr>
          <w:gridAfter w:val="1"/>
          <w:wAfter w:w="143" w:type="dxa"/>
          <w:trHeight w:val="660"/>
        </w:trPr>
        <w:tc>
          <w:tcPr>
            <w:tcW w:w="284" w:type="dxa"/>
          </w:tcPr>
          <w:p w14:paraId="2F894BAA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21.</w:t>
            </w:r>
          </w:p>
        </w:tc>
        <w:tc>
          <w:tcPr>
            <w:tcW w:w="2835" w:type="dxa"/>
          </w:tcPr>
          <w:p w14:paraId="4128955F" w14:textId="0ADD8813" w:rsidR="00163219" w:rsidRPr="003E4273" w:rsidRDefault="002C2B59" w:rsidP="00191A05">
            <w:pPr>
              <w:spacing w:after="0" w:line="259" w:lineRule="auto"/>
              <w:ind w:left="0" w:right="1061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PN-EN 933-10:2</w:t>
            </w:r>
            <w:r w:rsidR="00CA5847" w:rsidRPr="003E4273">
              <w:rPr>
                <w:rFonts w:ascii="Lato" w:hAnsi="Lato" w:cs="Arial"/>
                <w:color w:val="auto"/>
                <w:sz w:val="20"/>
                <w:szCs w:val="20"/>
              </w:rPr>
              <w:t>009</w:t>
            </w:r>
          </w:p>
        </w:tc>
        <w:tc>
          <w:tcPr>
            <w:tcW w:w="6237" w:type="dxa"/>
          </w:tcPr>
          <w:p w14:paraId="4CF72478" w14:textId="77777777" w:rsidR="00163219" w:rsidRPr="003E4273" w:rsidRDefault="002C2B59" w:rsidP="00191A05">
            <w:pPr>
              <w:spacing w:after="0" w:line="259" w:lineRule="auto"/>
              <w:ind w:left="0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Badanie geometrycznych właściwości kruszyw – Część 10: Ocena zawartości drobnych cząstek – Uziarnienie wypełniaczy (przesiewanie w strumieniu powietrza).</w:t>
            </w:r>
          </w:p>
        </w:tc>
      </w:tr>
      <w:tr w:rsidR="00042354" w:rsidRPr="003E4273" w14:paraId="5F626EE6" w14:textId="77777777" w:rsidTr="00F156B0">
        <w:trPr>
          <w:gridAfter w:val="1"/>
          <w:wAfter w:w="143" w:type="dxa"/>
          <w:trHeight w:val="518"/>
        </w:trPr>
        <w:tc>
          <w:tcPr>
            <w:tcW w:w="284" w:type="dxa"/>
          </w:tcPr>
          <w:p w14:paraId="48A23817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22.</w:t>
            </w:r>
          </w:p>
        </w:tc>
        <w:tc>
          <w:tcPr>
            <w:tcW w:w="2835" w:type="dxa"/>
          </w:tcPr>
          <w:p w14:paraId="124EAD44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PN-EN 1097-3:2000</w:t>
            </w:r>
          </w:p>
        </w:tc>
        <w:tc>
          <w:tcPr>
            <w:tcW w:w="6237" w:type="dxa"/>
          </w:tcPr>
          <w:p w14:paraId="6F59B42F" w14:textId="77777777" w:rsidR="00163219" w:rsidRPr="003E4273" w:rsidRDefault="002C2B59" w:rsidP="00191A05">
            <w:pPr>
              <w:spacing w:after="0" w:line="259" w:lineRule="auto"/>
              <w:ind w:left="0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Badanie mechanicznych i fizycznych właściwości kruszyw – Część 3: Oznaczanie gęstości nasypowej i jamistości.</w:t>
            </w:r>
          </w:p>
        </w:tc>
      </w:tr>
      <w:tr w:rsidR="00042354" w:rsidRPr="003E4273" w14:paraId="0EB556ED" w14:textId="77777777" w:rsidTr="00F156B0">
        <w:trPr>
          <w:gridAfter w:val="1"/>
          <w:wAfter w:w="143" w:type="dxa"/>
          <w:trHeight w:val="845"/>
        </w:trPr>
        <w:tc>
          <w:tcPr>
            <w:tcW w:w="284" w:type="dxa"/>
          </w:tcPr>
          <w:p w14:paraId="5E456943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lastRenderedPageBreak/>
              <w:t>23.</w:t>
            </w:r>
          </w:p>
        </w:tc>
        <w:tc>
          <w:tcPr>
            <w:tcW w:w="2835" w:type="dxa"/>
          </w:tcPr>
          <w:p w14:paraId="27E404E9" w14:textId="51C8C121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  <w:t>PN-EN 1097-6:20</w:t>
            </w:r>
            <w:r w:rsidR="00DB1DC6" w:rsidRPr="003E4273"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  <w:t>22-07</w:t>
            </w:r>
          </w:p>
          <w:p w14:paraId="41B97DF1" w14:textId="4C479AAE" w:rsidR="00163219" w:rsidRPr="003E4273" w:rsidRDefault="0016321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6237" w:type="dxa"/>
          </w:tcPr>
          <w:p w14:paraId="04215B39" w14:textId="77777777" w:rsidR="00163219" w:rsidRPr="003E4273" w:rsidRDefault="002C2B59" w:rsidP="00191A05">
            <w:pPr>
              <w:spacing w:after="0" w:line="259" w:lineRule="auto"/>
              <w:ind w:left="0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Badanie mechanicznych i fizycznych właściwości kruszyw – Część 6: Oznaczanie gęstości ziaren i nasiąkliwości.</w:t>
            </w:r>
          </w:p>
        </w:tc>
      </w:tr>
      <w:tr w:rsidR="00042354" w:rsidRPr="003E4273" w14:paraId="3E16D344" w14:textId="77777777" w:rsidTr="00F156B0">
        <w:trPr>
          <w:gridAfter w:val="1"/>
          <w:wAfter w:w="143" w:type="dxa"/>
          <w:trHeight w:val="829"/>
        </w:trPr>
        <w:tc>
          <w:tcPr>
            <w:tcW w:w="284" w:type="dxa"/>
          </w:tcPr>
          <w:p w14:paraId="5DD484EF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24.</w:t>
            </w:r>
          </w:p>
        </w:tc>
        <w:tc>
          <w:tcPr>
            <w:tcW w:w="2835" w:type="dxa"/>
          </w:tcPr>
          <w:p w14:paraId="3CFC9F90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  <w:t xml:space="preserve">PN-EN 12620:2004 </w:t>
            </w:r>
          </w:p>
          <w:p w14:paraId="42822FE1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  <w:t xml:space="preserve">PN-EN 12620+A1:2010 </w:t>
            </w:r>
          </w:p>
          <w:p w14:paraId="1773990B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  <w:t xml:space="preserve">PN-EN 12620:2004/AC:2004 </w:t>
            </w:r>
          </w:p>
          <w:p w14:paraId="48C2E75A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PN-EN 12620+A1:2010</w:t>
            </w:r>
          </w:p>
        </w:tc>
        <w:tc>
          <w:tcPr>
            <w:tcW w:w="6237" w:type="dxa"/>
          </w:tcPr>
          <w:p w14:paraId="783255E9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Kruszywa do betonu.</w:t>
            </w:r>
          </w:p>
        </w:tc>
      </w:tr>
      <w:tr w:rsidR="00042354" w:rsidRPr="003E4273" w14:paraId="25703CE8" w14:textId="77777777" w:rsidTr="00F156B0">
        <w:trPr>
          <w:gridAfter w:val="1"/>
          <w:wAfter w:w="143" w:type="dxa"/>
          <w:trHeight w:val="953"/>
        </w:trPr>
        <w:tc>
          <w:tcPr>
            <w:tcW w:w="284" w:type="dxa"/>
          </w:tcPr>
          <w:p w14:paraId="0CB3A8DB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25.</w:t>
            </w:r>
          </w:p>
        </w:tc>
        <w:tc>
          <w:tcPr>
            <w:tcW w:w="2835" w:type="dxa"/>
          </w:tcPr>
          <w:p w14:paraId="6361822B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  <w:t xml:space="preserve">PN-EN 934-2:2002 </w:t>
            </w:r>
          </w:p>
          <w:p w14:paraId="2ECB96B2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  <w:t>PN-EN 934-2:2010</w:t>
            </w:r>
          </w:p>
          <w:p w14:paraId="5360F3CB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  <w:t xml:space="preserve">PN-EN 934-2:2002/A1:2005 </w:t>
            </w:r>
          </w:p>
          <w:p w14:paraId="49759760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PN-EN 934-2:2002/A2:2006</w:t>
            </w:r>
          </w:p>
        </w:tc>
        <w:tc>
          <w:tcPr>
            <w:tcW w:w="6237" w:type="dxa"/>
          </w:tcPr>
          <w:p w14:paraId="3F3D158B" w14:textId="77777777" w:rsidR="00163219" w:rsidRPr="003E4273" w:rsidRDefault="002C2B59" w:rsidP="00191A05">
            <w:pPr>
              <w:spacing w:after="0" w:line="259" w:lineRule="auto"/>
              <w:ind w:left="0" w:right="1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Domieszki do betonu, zaprawy i zaczynu. Domieszki do betonu. Definicje i wymagania.   wycofana bez zastąpienia</w:t>
            </w:r>
          </w:p>
        </w:tc>
      </w:tr>
      <w:tr w:rsidR="00042354" w:rsidRPr="003E4273" w14:paraId="0DFE01A7" w14:textId="77777777" w:rsidTr="00F156B0">
        <w:trPr>
          <w:gridAfter w:val="1"/>
          <w:wAfter w:w="143" w:type="dxa"/>
          <w:trHeight w:val="698"/>
        </w:trPr>
        <w:tc>
          <w:tcPr>
            <w:tcW w:w="284" w:type="dxa"/>
          </w:tcPr>
          <w:p w14:paraId="5DDD47BA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26.</w:t>
            </w:r>
          </w:p>
        </w:tc>
        <w:tc>
          <w:tcPr>
            <w:tcW w:w="2835" w:type="dxa"/>
          </w:tcPr>
          <w:p w14:paraId="0D15944C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 xml:space="preserve">PN-EN 480-1:1999 </w:t>
            </w:r>
          </w:p>
          <w:p w14:paraId="0FE6E667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 xml:space="preserve">PN-EN 480-1:2008 </w:t>
            </w:r>
          </w:p>
          <w:p w14:paraId="2821B923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PN-EN 480-1:2006(u)</w:t>
            </w:r>
          </w:p>
        </w:tc>
        <w:tc>
          <w:tcPr>
            <w:tcW w:w="6237" w:type="dxa"/>
          </w:tcPr>
          <w:p w14:paraId="30C844A3" w14:textId="77777777" w:rsidR="00163219" w:rsidRPr="003E4273" w:rsidRDefault="002C2B59" w:rsidP="00191A05">
            <w:pPr>
              <w:spacing w:after="0" w:line="259" w:lineRule="auto"/>
              <w:ind w:left="0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Domieszki do betonu, zaprawy i zaczynu. Metody badań. Część 1: Beton wzorcowy i zaprawa wzorcowa do badania.</w:t>
            </w:r>
          </w:p>
        </w:tc>
      </w:tr>
      <w:tr w:rsidR="00042354" w:rsidRPr="003E4273" w14:paraId="3CBAEF9A" w14:textId="77777777" w:rsidTr="00F156B0">
        <w:trPr>
          <w:gridAfter w:val="1"/>
          <w:wAfter w:w="143" w:type="dxa"/>
          <w:trHeight w:val="552"/>
        </w:trPr>
        <w:tc>
          <w:tcPr>
            <w:tcW w:w="284" w:type="dxa"/>
          </w:tcPr>
          <w:p w14:paraId="64920E60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27.</w:t>
            </w:r>
          </w:p>
        </w:tc>
        <w:tc>
          <w:tcPr>
            <w:tcW w:w="2835" w:type="dxa"/>
          </w:tcPr>
          <w:p w14:paraId="523E673E" w14:textId="77777777" w:rsidR="00163219" w:rsidRPr="003E4273" w:rsidRDefault="002C2B59" w:rsidP="00191A05">
            <w:pPr>
              <w:spacing w:after="0" w:line="259" w:lineRule="auto"/>
              <w:ind w:left="0" w:right="1184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PN-EN 480-2:2006 PN-EN 480-2:2008</w:t>
            </w:r>
          </w:p>
        </w:tc>
        <w:tc>
          <w:tcPr>
            <w:tcW w:w="6237" w:type="dxa"/>
          </w:tcPr>
          <w:p w14:paraId="3F0BA4B8" w14:textId="77777777" w:rsidR="00163219" w:rsidRPr="003E4273" w:rsidRDefault="002C2B59" w:rsidP="00191A05">
            <w:pPr>
              <w:spacing w:after="0" w:line="259" w:lineRule="auto"/>
              <w:ind w:left="0" w:right="1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Domieszki do betonu, zaprawy i zaczynu. Metody badań. Część 2: Oznaczanie czasu wiązania.</w:t>
            </w:r>
          </w:p>
        </w:tc>
      </w:tr>
      <w:tr w:rsidR="00042354" w:rsidRPr="003E4273" w14:paraId="60667670" w14:textId="77777777" w:rsidTr="00F156B0">
        <w:trPr>
          <w:gridAfter w:val="1"/>
          <w:wAfter w:w="143" w:type="dxa"/>
          <w:trHeight w:val="701"/>
        </w:trPr>
        <w:tc>
          <w:tcPr>
            <w:tcW w:w="284" w:type="dxa"/>
          </w:tcPr>
          <w:p w14:paraId="6A86A8BB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28.</w:t>
            </w:r>
          </w:p>
        </w:tc>
        <w:tc>
          <w:tcPr>
            <w:tcW w:w="2835" w:type="dxa"/>
          </w:tcPr>
          <w:p w14:paraId="4B03FA34" w14:textId="77777777" w:rsidR="00163219" w:rsidRPr="003E4273" w:rsidRDefault="002C2B59" w:rsidP="00191A05">
            <w:pPr>
              <w:spacing w:after="0" w:line="259" w:lineRule="auto"/>
              <w:ind w:left="0" w:right="912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PN-EN 480-4:2006(u) PN-EN 480-4:2008</w:t>
            </w:r>
          </w:p>
        </w:tc>
        <w:tc>
          <w:tcPr>
            <w:tcW w:w="6237" w:type="dxa"/>
          </w:tcPr>
          <w:p w14:paraId="72A288C9" w14:textId="77777777" w:rsidR="00163219" w:rsidRPr="003E4273" w:rsidRDefault="002C2B59" w:rsidP="00191A05">
            <w:pPr>
              <w:spacing w:after="0" w:line="259" w:lineRule="auto"/>
              <w:ind w:left="0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Domieszki do betonu, zaprawy i zaczynu. Metody badań. Część 4: Oznaczanie ilości wody wydzielającej się samoczynnie z mieszanki betonowej.</w:t>
            </w:r>
          </w:p>
        </w:tc>
      </w:tr>
      <w:tr w:rsidR="00042354" w:rsidRPr="003E4273" w14:paraId="26A080C8" w14:textId="77777777" w:rsidTr="00F156B0">
        <w:trPr>
          <w:gridAfter w:val="1"/>
          <w:wAfter w:w="143" w:type="dxa"/>
          <w:trHeight w:val="556"/>
        </w:trPr>
        <w:tc>
          <w:tcPr>
            <w:tcW w:w="284" w:type="dxa"/>
          </w:tcPr>
          <w:p w14:paraId="55DA846C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29.</w:t>
            </w:r>
          </w:p>
        </w:tc>
        <w:tc>
          <w:tcPr>
            <w:tcW w:w="2835" w:type="dxa"/>
          </w:tcPr>
          <w:p w14:paraId="3B1705FE" w14:textId="77777777" w:rsidR="00163219" w:rsidRPr="003E4273" w:rsidRDefault="002C2B59" w:rsidP="00191A05">
            <w:pPr>
              <w:spacing w:after="0" w:line="259" w:lineRule="auto"/>
              <w:ind w:left="0" w:right="912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PN-EN 480-5:2006(u) PN-EN 480-5:2008</w:t>
            </w:r>
          </w:p>
        </w:tc>
        <w:tc>
          <w:tcPr>
            <w:tcW w:w="6237" w:type="dxa"/>
          </w:tcPr>
          <w:p w14:paraId="7D4DA42E" w14:textId="77777777" w:rsidR="00163219" w:rsidRPr="003E4273" w:rsidRDefault="002C2B59" w:rsidP="00191A05">
            <w:pPr>
              <w:spacing w:after="0" w:line="259" w:lineRule="auto"/>
              <w:ind w:left="0" w:right="1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Domieszki do betonu, zaprawy i zaczynu. Metody badań. Część 5: Oznaczanie absorpcji kapilarnej.</w:t>
            </w:r>
          </w:p>
        </w:tc>
      </w:tr>
      <w:tr w:rsidR="00042354" w:rsidRPr="003E4273" w14:paraId="743B4138" w14:textId="77777777" w:rsidTr="00F156B0">
        <w:trPr>
          <w:gridAfter w:val="1"/>
          <w:wAfter w:w="143" w:type="dxa"/>
          <w:trHeight w:val="550"/>
        </w:trPr>
        <w:tc>
          <w:tcPr>
            <w:tcW w:w="284" w:type="dxa"/>
          </w:tcPr>
          <w:p w14:paraId="76794D19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30.</w:t>
            </w:r>
          </w:p>
        </w:tc>
        <w:tc>
          <w:tcPr>
            <w:tcW w:w="2835" w:type="dxa"/>
          </w:tcPr>
          <w:p w14:paraId="268FAD1F" w14:textId="77777777" w:rsidR="00163219" w:rsidRPr="003E4273" w:rsidRDefault="002C2B59" w:rsidP="00191A05">
            <w:pPr>
              <w:spacing w:after="0" w:line="259" w:lineRule="auto"/>
              <w:ind w:left="0" w:right="975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PN-EN 480-6:2006(u) PN-EN 480-6:2008</w:t>
            </w:r>
          </w:p>
        </w:tc>
        <w:tc>
          <w:tcPr>
            <w:tcW w:w="6237" w:type="dxa"/>
          </w:tcPr>
          <w:p w14:paraId="70F14D9C" w14:textId="77777777" w:rsidR="00163219" w:rsidRPr="003E4273" w:rsidRDefault="002C2B59" w:rsidP="00191A05">
            <w:pPr>
              <w:spacing w:after="0" w:line="259" w:lineRule="auto"/>
              <w:ind w:left="0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Domieszki do betonu, zaprawy i zaczynu. Metody badań. Część 6: Analiza w podczerwieni.</w:t>
            </w:r>
          </w:p>
        </w:tc>
      </w:tr>
      <w:tr w:rsidR="00042354" w:rsidRPr="003E4273" w14:paraId="021C1079" w14:textId="77777777" w:rsidTr="00F156B0">
        <w:trPr>
          <w:gridAfter w:val="1"/>
          <w:wAfter w:w="143" w:type="dxa"/>
          <w:trHeight w:val="572"/>
        </w:trPr>
        <w:tc>
          <w:tcPr>
            <w:tcW w:w="284" w:type="dxa"/>
          </w:tcPr>
          <w:p w14:paraId="204202BF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31.</w:t>
            </w:r>
          </w:p>
        </w:tc>
        <w:tc>
          <w:tcPr>
            <w:tcW w:w="2835" w:type="dxa"/>
          </w:tcPr>
          <w:p w14:paraId="1F70278A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PN-EN 480-8:1999</w:t>
            </w:r>
          </w:p>
        </w:tc>
        <w:tc>
          <w:tcPr>
            <w:tcW w:w="6237" w:type="dxa"/>
          </w:tcPr>
          <w:p w14:paraId="2CA99DEB" w14:textId="77777777" w:rsidR="00163219" w:rsidRPr="003E4273" w:rsidRDefault="002C2B59" w:rsidP="00191A05">
            <w:pPr>
              <w:spacing w:after="0" w:line="259" w:lineRule="auto"/>
              <w:ind w:left="0" w:right="1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Domieszki do betonu, zaprawy i zaczynu. Metody badań. Część 8: Oznaczanie umownej zawartości suchej substancji.</w:t>
            </w:r>
          </w:p>
        </w:tc>
      </w:tr>
      <w:tr w:rsidR="00042354" w:rsidRPr="003E4273" w14:paraId="3F562D1A" w14:textId="77777777" w:rsidTr="00F156B0">
        <w:trPr>
          <w:gridAfter w:val="1"/>
          <w:wAfter w:w="143" w:type="dxa"/>
          <w:trHeight w:val="552"/>
        </w:trPr>
        <w:tc>
          <w:tcPr>
            <w:tcW w:w="284" w:type="dxa"/>
          </w:tcPr>
          <w:p w14:paraId="09B0AC1B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32.</w:t>
            </w:r>
          </w:p>
        </w:tc>
        <w:tc>
          <w:tcPr>
            <w:tcW w:w="2835" w:type="dxa"/>
          </w:tcPr>
          <w:p w14:paraId="59C7397D" w14:textId="77777777" w:rsidR="00163219" w:rsidRPr="003E4273" w:rsidRDefault="002C2B59" w:rsidP="00191A05">
            <w:pPr>
              <w:spacing w:after="0" w:line="259" w:lineRule="auto"/>
              <w:ind w:left="0" w:right="1061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PN-EN 480-10:1999 PN-EN 480-10:2009</w:t>
            </w:r>
          </w:p>
        </w:tc>
        <w:tc>
          <w:tcPr>
            <w:tcW w:w="6237" w:type="dxa"/>
          </w:tcPr>
          <w:p w14:paraId="4AF54B4A" w14:textId="77777777" w:rsidR="00163219" w:rsidRPr="003E4273" w:rsidRDefault="002C2B59" w:rsidP="00191A05">
            <w:pPr>
              <w:spacing w:after="0" w:line="259" w:lineRule="auto"/>
              <w:ind w:left="0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Domieszki do betonu, zaprawy i zaczynu. Metody badań. Część 10: Oznaczanie zawartości chlorków rozpuszczalnych w wodzie.</w:t>
            </w:r>
          </w:p>
        </w:tc>
      </w:tr>
      <w:tr w:rsidR="00042354" w:rsidRPr="003E4273" w14:paraId="468741D1" w14:textId="77777777" w:rsidTr="00F156B0">
        <w:trPr>
          <w:gridAfter w:val="1"/>
          <w:wAfter w:w="143" w:type="dxa"/>
          <w:trHeight w:val="546"/>
        </w:trPr>
        <w:tc>
          <w:tcPr>
            <w:tcW w:w="284" w:type="dxa"/>
          </w:tcPr>
          <w:p w14:paraId="680D0267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33.</w:t>
            </w:r>
          </w:p>
        </w:tc>
        <w:tc>
          <w:tcPr>
            <w:tcW w:w="2835" w:type="dxa"/>
          </w:tcPr>
          <w:p w14:paraId="56221FF4" w14:textId="10FA6000" w:rsidR="00163219" w:rsidRPr="003E4273" w:rsidRDefault="002C2B59" w:rsidP="00191A05">
            <w:pPr>
              <w:spacing w:after="0" w:line="259" w:lineRule="auto"/>
              <w:ind w:left="0" w:right="853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PN-EN 480-12</w:t>
            </w:r>
            <w:r w:rsidR="00F51359" w:rsidRPr="003E4273">
              <w:rPr>
                <w:rFonts w:ascii="Lato" w:hAnsi="Lato" w:cs="Arial"/>
                <w:color w:val="auto"/>
                <w:sz w:val="20"/>
                <w:szCs w:val="20"/>
              </w:rPr>
              <w:t>:2008</w:t>
            </w:r>
          </w:p>
        </w:tc>
        <w:tc>
          <w:tcPr>
            <w:tcW w:w="6237" w:type="dxa"/>
          </w:tcPr>
          <w:p w14:paraId="68C512C0" w14:textId="77777777" w:rsidR="00B83AFC" w:rsidRPr="003E4273" w:rsidRDefault="002C2B59" w:rsidP="00B83AFC">
            <w:pPr>
              <w:spacing w:after="0" w:line="259" w:lineRule="auto"/>
              <w:ind w:left="0" w:right="58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Domieszki do betonu, zaprawy i zaczynu. Metody badań. Część 12: Oznaczanie</w:t>
            </w:r>
            <w:r w:rsidR="00B83AFC" w:rsidRPr="003E4273">
              <w:rPr>
                <w:rFonts w:ascii="Lato" w:hAnsi="Lato" w:cs="Arial"/>
                <w:color w:val="auto"/>
                <w:sz w:val="20"/>
                <w:szCs w:val="20"/>
              </w:rPr>
              <w:t xml:space="preserve"> zawartości alkaliów w domieszkach.</w:t>
            </w:r>
          </w:p>
          <w:p w14:paraId="7630BB1D" w14:textId="6B6D2C22" w:rsidR="00163219" w:rsidRPr="003E4273" w:rsidRDefault="00163219" w:rsidP="00191A05">
            <w:pPr>
              <w:spacing w:after="0" w:line="259" w:lineRule="auto"/>
              <w:ind w:left="0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</w:p>
        </w:tc>
      </w:tr>
      <w:tr w:rsidR="00042354" w:rsidRPr="003E4273" w14:paraId="5F1C4D80" w14:textId="77777777" w:rsidTr="00F156B0">
        <w:trPr>
          <w:trHeight w:val="654"/>
        </w:trPr>
        <w:tc>
          <w:tcPr>
            <w:tcW w:w="284" w:type="dxa"/>
          </w:tcPr>
          <w:p w14:paraId="454ABBE8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34.</w:t>
            </w:r>
          </w:p>
        </w:tc>
        <w:tc>
          <w:tcPr>
            <w:tcW w:w="2835" w:type="dxa"/>
          </w:tcPr>
          <w:p w14:paraId="5F178A45" w14:textId="77777777" w:rsidR="00163219" w:rsidRPr="003E4273" w:rsidRDefault="002C2B59" w:rsidP="00286FAB">
            <w:pPr>
              <w:spacing w:after="0" w:line="240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PN-EN 1008-1:2004</w:t>
            </w:r>
          </w:p>
        </w:tc>
        <w:tc>
          <w:tcPr>
            <w:tcW w:w="6380" w:type="dxa"/>
            <w:gridSpan w:val="2"/>
          </w:tcPr>
          <w:p w14:paraId="252074DA" w14:textId="77777777" w:rsidR="00163219" w:rsidRPr="003E4273" w:rsidRDefault="002C2B59" w:rsidP="00B83AFC">
            <w:pPr>
              <w:spacing w:after="0" w:line="259" w:lineRule="auto"/>
              <w:ind w:left="118" w:right="0" w:hanging="118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Woda zarobowa do betonu. Część 1:</w:t>
            </w:r>
          </w:p>
          <w:p w14:paraId="692F855E" w14:textId="77777777" w:rsidR="00163219" w:rsidRPr="003E4273" w:rsidRDefault="002C2B59" w:rsidP="00191A05">
            <w:pPr>
              <w:spacing w:after="0" w:line="259" w:lineRule="auto"/>
              <w:ind w:left="1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Specyfikacja pobierania próbek, badanie i ocena przydatności wody zarobowej do betonu, w tym wody odzyskanej z procesów produkcji betonu.</w:t>
            </w:r>
          </w:p>
        </w:tc>
      </w:tr>
      <w:tr w:rsidR="00042354" w:rsidRPr="003E4273" w14:paraId="5A096351" w14:textId="77777777" w:rsidTr="00F156B0">
        <w:trPr>
          <w:trHeight w:val="706"/>
        </w:trPr>
        <w:tc>
          <w:tcPr>
            <w:tcW w:w="284" w:type="dxa"/>
          </w:tcPr>
          <w:p w14:paraId="5BD605FC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35.</w:t>
            </w:r>
          </w:p>
        </w:tc>
        <w:tc>
          <w:tcPr>
            <w:tcW w:w="2835" w:type="dxa"/>
          </w:tcPr>
          <w:p w14:paraId="57CF7A67" w14:textId="721C8F27" w:rsidR="000A7055" w:rsidRPr="003E4273" w:rsidRDefault="002C2B59" w:rsidP="000A7055">
            <w:pPr>
              <w:spacing w:after="0" w:line="240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  <w:t>PN-EN 206</w:t>
            </w:r>
            <w:r w:rsidR="000A7055" w:rsidRPr="003E4273"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  <w:t>+A2:2021-08</w:t>
            </w:r>
          </w:p>
          <w:p w14:paraId="4DE9909A" w14:textId="7950DC70" w:rsidR="00163219" w:rsidRPr="003E4273" w:rsidRDefault="00163219" w:rsidP="00286FAB">
            <w:pPr>
              <w:spacing w:after="0" w:line="240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6380" w:type="dxa"/>
            <w:gridSpan w:val="2"/>
          </w:tcPr>
          <w:p w14:paraId="145D4AC0" w14:textId="471A16A8" w:rsidR="00163219" w:rsidRPr="003E4273" w:rsidRDefault="002C2B59" w:rsidP="00191A05">
            <w:pPr>
              <w:spacing w:after="0" w:line="259" w:lineRule="auto"/>
              <w:ind w:left="1" w:right="1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Beton.</w:t>
            </w:r>
            <w:r w:rsidR="000A7055" w:rsidRPr="003E4273">
              <w:rPr>
                <w:rFonts w:ascii="Lato" w:hAnsi="Lato" w:cs="Arial"/>
                <w:color w:val="auto"/>
                <w:sz w:val="20"/>
                <w:szCs w:val="20"/>
              </w:rPr>
              <w:t xml:space="preserve"> </w:t>
            </w: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 xml:space="preserve">Wymagania, właściwości, produkcja i zgodność.  </w:t>
            </w:r>
          </w:p>
        </w:tc>
      </w:tr>
      <w:tr w:rsidR="00042354" w:rsidRPr="003E4273" w14:paraId="25C6FAE7" w14:textId="77777777" w:rsidTr="00F156B0">
        <w:trPr>
          <w:trHeight w:val="376"/>
        </w:trPr>
        <w:tc>
          <w:tcPr>
            <w:tcW w:w="284" w:type="dxa"/>
          </w:tcPr>
          <w:p w14:paraId="353403C7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36.</w:t>
            </w:r>
          </w:p>
        </w:tc>
        <w:tc>
          <w:tcPr>
            <w:tcW w:w="2835" w:type="dxa"/>
          </w:tcPr>
          <w:p w14:paraId="2781AB9B" w14:textId="3A01EADF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PN-EN 12300-3:20</w:t>
            </w:r>
            <w:r w:rsidR="00ED7C61" w:rsidRPr="003E4273">
              <w:rPr>
                <w:rFonts w:ascii="Lato" w:hAnsi="Lato" w:cs="Arial"/>
                <w:color w:val="auto"/>
                <w:sz w:val="20"/>
                <w:szCs w:val="20"/>
              </w:rPr>
              <w:t>19-07</w:t>
            </w:r>
          </w:p>
        </w:tc>
        <w:tc>
          <w:tcPr>
            <w:tcW w:w="6380" w:type="dxa"/>
            <w:gridSpan w:val="2"/>
          </w:tcPr>
          <w:p w14:paraId="34A129A2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Badania betonu. Część 3: Wytrzymałość na ściskanie próbek do badania</w:t>
            </w:r>
          </w:p>
        </w:tc>
      </w:tr>
      <w:tr w:rsidR="00042354" w:rsidRPr="003E4273" w14:paraId="77410610" w14:textId="77777777" w:rsidTr="00F156B0">
        <w:trPr>
          <w:trHeight w:val="694"/>
        </w:trPr>
        <w:tc>
          <w:tcPr>
            <w:tcW w:w="284" w:type="dxa"/>
          </w:tcPr>
          <w:p w14:paraId="5D943B98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37.</w:t>
            </w:r>
          </w:p>
        </w:tc>
        <w:tc>
          <w:tcPr>
            <w:tcW w:w="2835" w:type="dxa"/>
          </w:tcPr>
          <w:p w14:paraId="1ABF2198" w14:textId="046307E1" w:rsidR="00163219" w:rsidRPr="003E4273" w:rsidRDefault="002C2B59" w:rsidP="00191A05">
            <w:pPr>
              <w:spacing w:after="0" w:line="259" w:lineRule="auto"/>
              <w:ind w:left="0" w:right="939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PN-EN 12504-1:</w:t>
            </w:r>
            <w:r w:rsidR="00056D51" w:rsidRPr="003E4273">
              <w:rPr>
                <w:rFonts w:ascii="Lato" w:hAnsi="Lato" w:cs="Arial"/>
                <w:color w:val="auto"/>
                <w:sz w:val="20"/>
                <w:szCs w:val="20"/>
              </w:rPr>
              <w:t>2019-08</w:t>
            </w:r>
          </w:p>
        </w:tc>
        <w:tc>
          <w:tcPr>
            <w:tcW w:w="6380" w:type="dxa"/>
            <w:gridSpan w:val="2"/>
          </w:tcPr>
          <w:p w14:paraId="317882DC" w14:textId="4EE3F9D0" w:rsidR="00163219" w:rsidRPr="003E4273" w:rsidRDefault="002C2B59" w:rsidP="00191A05">
            <w:pPr>
              <w:spacing w:after="0" w:line="259" w:lineRule="auto"/>
              <w:ind w:left="1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 xml:space="preserve">Badanie betonu w konstrukcjach. Część 1: </w:t>
            </w:r>
            <w:r w:rsidR="00C421FA" w:rsidRPr="003E4273">
              <w:rPr>
                <w:rFonts w:ascii="Lato" w:hAnsi="Lato" w:cs="Arial"/>
                <w:color w:val="auto"/>
                <w:sz w:val="20"/>
                <w:szCs w:val="20"/>
              </w:rPr>
              <w:t>Próbki rdzeniowe - Pobierania, ocena i badanie wytrzymałości na ściskanie</w:t>
            </w:r>
          </w:p>
        </w:tc>
      </w:tr>
      <w:tr w:rsidR="00042354" w:rsidRPr="003E4273" w14:paraId="12FDD00D" w14:textId="77777777" w:rsidTr="00F156B0">
        <w:trPr>
          <w:trHeight w:val="562"/>
        </w:trPr>
        <w:tc>
          <w:tcPr>
            <w:tcW w:w="284" w:type="dxa"/>
          </w:tcPr>
          <w:p w14:paraId="14929358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38.</w:t>
            </w:r>
          </w:p>
        </w:tc>
        <w:tc>
          <w:tcPr>
            <w:tcW w:w="2835" w:type="dxa"/>
          </w:tcPr>
          <w:p w14:paraId="562B5070" w14:textId="1EC5F646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  <w:t>PN-EN 12504-2:20</w:t>
            </w:r>
            <w:r w:rsidR="008D1BBE" w:rsidRPr="003E4273"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  <w:t>21-12</w:t>
            </w:r>
          </w:p>
          <w:p w14:paraId="56B9BEBD" w14:textId="2B85A8AF" w:rsidR="00163219" w:rsidRPr="003E4273" w:rsidRDefault="0016321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6380" w:type="dxa"/>
            <w:gridSpan w:val="2"/>
          </w:tcPr>
          <w:p w14:paraId="2ED741A3" w14:textId="77777777" w:rsidR="00163219" w:rsidRPr="003E4273" w:rsidRDefault="002C2B59" w:rsidP="00191A05">
            <w:pPr>
              <w:spacing w:after="0" w:line="259" w:lineRule="auto"/>
              <w:ind w:left="1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Badanie betonu w konstrukcjach. Część 2: Badania nieniszczące – Oznaczanie liczby odbicia.</w:t>
            </w:r>
          </w:p>
        </w:tc>
      </w:tr>
      <w:tr w:rsidR="00042354" w:rsidRPr="003E4273" w14:paraId="375C809B" w14:textId="77777777" w:rsidTr="00F156B0">
        <w:trPr>
          <w:trHeight w:val="414"/>
        </w:trPr>
        <w:tc>
          <w:tcPr>
            <w:tcW w:w="284" w:type="dxa"/>
          </w:tcPr>
          <w:p w14:paraId="2E23414A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39.</w:t>
            </w:r>
          </w:p>
        </w:tc>
        <w:tc>
          <w:tcPr>
            <w:tcW w:w="2835" w:type="dxa"/>
          </w:tcPr>
          <w:p w14:paraId="198C8110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PN-EN 12504-3:2006</w:t>
            </w:r>
          </w:p>
        </w:tc>
        <w:tc>
          <w:tcPr>
            <w:tcW w:w="6380" w:type="dxa"/>
            <w:gridSpan w:val="2"/>
          </w:tcPr>
          <w:p w14:paraId="3E3FF9BC" w14:textId="77777777" w:rsidR="00163219" w:rsidRPr="003E4273" w:rsidRDefault="002C2B59" w:rsidP="00191A05">
            <w:pPr>
              <w:spacing w:after="0" w:line="259" w:lineRule="auto"/>
              <w:ind w:left="0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Badanie betonu w konstrukcjach. Część 3: Oznaczanie siły wyrywającej.</w:t>
            </w:r>
          </w:p>
        </w:tc>
      </w:tr>
      <w:tr w:rsidR="00042354" w:rsidRPr="003E4273" w14:paraId="2A2314F4" w14:textId="77777777" w:rsidTr="00F156B0">
        <w:trPr>
          <w:trHeight w:val="562"/>
        </w:trPr>
        <w:tc>
          <w:tcPr>
            <w:tcW w:w="284" w:type="dxa"/>
          </w:tcPr>
          <w:p w14:paraId="72BE95F1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40.</w:t>
            </w:r>
          </w:p>
        </w:tc>
        <w:tc>
          <w:tcPr>
            <w:tcW w:w="2835" w:type="dxa"/>
          </w:tcPr>
          <w:p w14:paraId="148B4460" w14:textId="65A4F9D6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PN-EN 12504-4:2</w:t>
            </w:r>
            <w:r w:rsidR="008D1BBE" w:rsidRPr="003E4273">
              <w:rPr>
                <w:rFonts w:ascii="Lato" w:hAnsi="Lato" w:cs="Arial"/>
                <w:color w:val="auto"/>
                <w:sz w:val="20"/>
                <w:szCs w:val="20"/>
              </w:rPr>
              <w:t>021-12</w:t>
            </w:r>
          </w:p>
        </w:tc>
        <w:tc>
          <w:tcPr>
            <w:tcW w:w="6380" w:type="dxa"/>
            <w:gridSpan w:val="2"/>
          </w:tcPr>
          <w:p w14:paraId="3DCADA3C" w14:textId="004CAE6C" w:rsidR="00163219" w:rsidRPr="003E4273" w:rsidRDefault="002C2B59" w:rsidP="00191A05">
            <w:pPr>
              <w:spacing w:after="0" w:line="259" w:lineRule="auto"/>
              <w:ind w:left="1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Badanie betonu w konstrukcjach. Część 4: Oznaczanie</w:t>
            </w:r>
            <w:r w:rsidR="00B83AFC" w:rsidRPr="003E4273">
              <w:rPr>
                <w:rFonts w:ascii="Lato" w:hAnsi="Lato" w:cs="Arial"/>
                <w:color w:val="auto"/>
                <w:sz w:val="20"/>
                <w:szCs w:val="20"/>
              </w:rPr>
              <w:t xml:space="preserve"> </w:t>
            </w:r>
            <w:r w:rsidR="00A161F1" w:rsidRPr="003E4273">
              <w:rPr>
                <w:rFonts w:ascii="Lato" w:hAnsi="Lato" w:cs="Arial"/>
                <w:color w:val="auto"/>
                <w:sz w:val="20"/>
                <w:szCs w:val="20"/>
              </w:rPr>
              <w:t>p</w:t>
            </w: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rędkości fali ultradźwiękowej.</w:t>
            </w:r>
          </w:p>
        </w:tc>
      </w:tr>
      <w:tr w:rsidR="00042354" w:rsidRPr="003E4273" w14:paraId="6AB5330C" w14:textId="77777777" w:rsidTr="00F156B0">
        <w:trPr>
          <w:trHeight w:val="598"/>
        </w:trPr>
        <w:tc>
          <w:tcPr>
            <w:tcW w:w="284" w:type="dxa"/>
          </w:tcPr>
          <w:p w14:paraId="7C6F40FA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45.</w:t>
            </w:r>
          </w:p>
        </w:tc>
        <w:tc>
          <w:tcPr>
            <w:tcW w:w="2835" w:type="dxa"/>
          </w:tcPr>
          <w:p w14:paraId="531CA1F8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PN-N-02211:2000</w:t>
            </w:r>
          </w:p>
        </w:tc>
        <w:tc>
          <w:tcPr>
            <w:tcW w:w="6380" w:type="dxa"/>
            <w:gridSpan w:val="2"/>
          </w:tcPr>
          <w:p w14:paraId="0C7E7758" w14:textId="77777777" w:rsidR="00163219" w:rsidRPr="003E4273" w:rsidRDefault="002C2B59" w:rsidP="00191A05">
            <w:pPr>
              <w:spacing w:after="0" w:line="259" w:lineRule="auto"/>
              <w:ind w:left="0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Geodezyjne wyznaczenie przemieszczeń. Terminologia podstawowa.</w:t>
            </w:r>
          </w:p>
        </w:tc>
      </w:tr>
      <w:tr w:rsidR="00042354" w:rsidRPr="003E4273" w14:paraId="7379623D" w14:textId="77777777" w:rsidTr="00F156B0">
        <w:trPr>
          <w:trHeight w:val="612"/>
        </w:trPr>
        <w:tc>
          <w:tcPr>
            <w:tcW w:w="284" w:type="dxa"/>
          </w:tcPr>
          <w:p w14:paraId="44744985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lastRenderedPageBreak/>
              <w:t>46.</w:t>
            </w:r>
          </w:p>
        </w:tc>
        <w:tc>
          <w:tcPr>
            <w:tcW w:w="2835" w:type="dxa"/>
          </w:tcPr>
          <w:p w14:paraId="3C355E51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PN-M-47900-1:1996</w:t>
            </w:r>
          </w:p>
        </w:tc>
        <w:tc>
          <w:tcPr>
            <w:tcW w:w="6380" w:type="dxa"/>
            <w:gridSpan w:val="2"/>
          </w:tcPr>
          <w:p w14:paraId="66700B96" w14:textId="77777777" w:rsidR="00163219" w:rsidRPr="003E4273" w:rsidRDefault="002C2B59" w:rsidP="00191A05">
            <w:pPr>
              <w:spacing w:after="0" w:line="259" w:lineRule="auto"/>
              <w:ind w:left="1" w:right="1" w:hanging="1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Rusztowania stojące metalowe robocze. Część 1: Określenia, podział i główne parametry.</w:t>
            </w:r>
          </w:p>
        </w:tc>
      </w:tr>
      <w:tr w:rsidR="00042354" w:rsidRPr="003E4273" w14:paraId="59565E69" w14:textId="77777777" w:rsidTr="00F156B0">
        <w:trPr>
          <w:trHeight w:val="564"/>
        </w:trPr>
        <w:tc>
          <w:tcPr>
            <w:tcW w:w="284" w:type="dxa"/>
          </w:tcPr>
          <w:p w14:paraId="12BABBD1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47.</w:t>
            </w:r>
          </w:p>
        </w:tc>
        <w:tc>
          <w:tcPr>
            <w:tcW w:w="2835" w:type="dxa"/>
          </w:tcPr>
          <w:p w14:paraId="20C40BEE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PN-M-47900-2:1996</w:t>
            </w:r>
          </w:p>
        </w:tc>
        <w:tc>
          <w:tcPr>
            <w:tcW w:w="6380" w:type="dxa"/>
            <w:gridSpan w:val="2"/>
          </w:tcPr>
          <w:p w14:paraId="1C0A7C7C" w14:textId="77777777" w:rsidR="00163219" w:rsidRPr="003E4273" w:rsidRDefault="002C2B59" w:rsidP="00191A05">
            <w:pPr>
              <w:spacing w:after="0" w:line="259" w:lineRule="auto"/>
              <w:ind w:left="1" w:right="0" w:hanging="1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Rusztowania stojące metalowe robocze. Część 2: Rusztowania stojakowe z rur stalowych. Ogólne wymagania i badania oraz eksploatacja.</w:t>
            </w:r>
          </w:p>
        </w:tc>
      </w:tr>
      <w:tr w:rsidR="00042354" w:rsidRPr="003E4273" w14:paraId="1A8046CE" w14:textId="77777777" w:rsidTr="00F156B0">
        <w:trPr>
          <w:trHeight w:val="275"/>
        </w:trPr>
        <w:tc>
          <w:tcPr>
            <w:tcW w:w="284" w:type="dxa"/>
          </w:tcPr>
          <w:p w14:paraId="6170D947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48.</w:t>
            </w:r>
          </w:p>
        </w:tc>
        <w:tc>
          <w:tcPr>
            <w:tcW w:w="2835" w:type="dxa"/>
          </w:tcPr>
          <w:p w14:paraId="414C71A7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PN-M-47900-3:1996</w:t>
            </w:r>
          </w:p>
        </w:tc>
        <w:tc>
          <w:tcPr>
            <w:tcW w:w="6380" w:type="dxa"/>
            <w:gridSpan w:val="2"/>
          </w:tcPr>
          <w:p w14:paraId="2CB0ECFC" w14:textId="77777777" w:rsidR="00163219" w:rsidRPr="003E4273" w:rsidRDefault="002C2B59" w:rsidP="00191A05">
            <w:pPr>
              <w:spacing w:after="0" w:line="259" w:lineRule="auto"/>
              <w:ind w:left="1" w:right="0" w:hanging="1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Rusztowania stojące metalowe robocze. Część 3: Rusztowania ramowe.</w:t>
            </w:r>
          </w:p>
        </w:tc>
      </w:tr>
      <w:tr w:rsidR="00042354" w:rsidRPr="003E4273" w14:paraId="21237A03" w14:textId="77777777" w:rsidTr="00F156B0">
        <w:trPr>
          <w:trHeight w:val="562"/>
        </w:trPr>
        <w:tc>
          <w:tcPr>
            <w:tcW w:w="284" w:type="dxa"/>
          </w:tcPr>
          <w:p w14:paraId="46291CB6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49.</w:t>
            </w:r>
          </w:p>
        </w:tc>
        <w:tc>
          <w:tcPr>
            <w:tcW w:w="2835" w:type="dxa"/>
          </w:tcPr>
          <w:p w14:paraId="323F3DB9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PN-EN 74-1:2006(u)</w:t>
            </w:r>
          </w:p>
        </w:tc>
        <w:tc>
          <w:tcPr>
            <w:tcW w:w="6380" w:type="dxa"/>
            <w:gridSpan w:val="2"/>
          </w:tcPr>
          <w:p w14:paraId="3F2FA03F" w14:textId="77777777" w:rsidR="00163219" w:rsidRPr="003E4273" w:rsidRDefault="002C2B59" w:rsidP="00191A05">
            <w:pPr>
              <w:spacing w:after="0" w:line="259" w:lineRule="auto"/>
              <w:ind w:left="0" w:right="0" w:firstLine="0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 xml:space="preserve">Złącza, sworznie centrujące i podstawki stosowane w </w:t>
            </w:r>
            <w:proofErr w:type="spellStart"/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deskowaniach</w:t>
            </w:r>
            <w:proofErr w:type="spellEnd"/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 xml:space="preserve"> i rusztowaniach. Część 1: Złącza do rur – Wymagania i metody badań.</w:t>
            </w:r>
          </w:p>
        </w:tc>
      </w:tr>
      <w:tr w:rsidR="00042354" w:rsidRPr="003E4273" w14:paraId="5A9AE5D3" w14:textId="77777777" w:rsidTr="00F156B0">
        <w:trPr>
          <w:trHeight w:val="414"/>
        </w:trPr>
        <w:tc>
          <w:tcPr>
            <w:tcW w:w="284" w:type="dxa"/>
          </w:tcPr>
          <w:p w14:paraId="690C98DC" w14:textId="77777777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50.</w:t>
            </w:r>
          </w:p>
        </w:tc>
        <w:tc>
          <w:tcPr>
            <w:tcW w:w="2835" w:type="dxa"/>
          </w:tcPr>
          <w:p w14:paraId="23510C9C" w14:textId="4E6079DD" w:rsidR="00163219" w:rsidRPr="003E4273" w:rsidRDefault="002C2B59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PN-</w:t>
            </w:r>
            <w:r w:rsidR="002A55DC" w:rsidRPr="003E4273">
              <w:rPr>
                <w:rFonts w:ascii="Lato" w:hAnsi="Lato" w:cs="Arial"/>
                <w:color w:val="auto"/>
                <w:sz w:val="20"/>
                <w:szCs w:val="20"/>
              </w:rPr>
              <w:t>EN 12811-1:2007</w:t>
            </w:r>
          </w:p>
        </w:tc>
        <w:tc>
          <w:tcPr>
            <w:tcW w:w="6380" w:type="dxa"/>
            <w:gridSpan w:val="2"/>
          </w:tcPr>
          <w:p w14:paraId="775D8A98" w14:textId="5E156D6B" w:rsidR="00163219" w:rsidRPr="003E4273" w:rsidRDefault="002A55DC" w:rsidP="00191A05">
            <w:pPr>
              <w:spacing w:after="0" w:line="259" w:lineRule="auto"/>
              <w:ind w:left="0" w:right="0" w:firstLine="0"/>
              <w:jc w:val="left"/>
              <w:rPr>
                <w:rFonts w:ascii="Lato" w:hAnsi="Lato" w:cs="Arial"/>
                <w:color w:val="auto"/>
                <w:sz w:val="20"/>
                <w:szCs w:val="20"/>
              </w:rPr>
            </w:pPr>
            <w:r w:rsidRPr="003E4273">
              <w:rPr>
                <w:rFonts w:ascii="Lato" w:hAnsi="Lato" w:cs="Arial"/>
                <w:color w:val="auto"/>
                <w:sz w:val="20"/>
                <w:szCs w:val="20"/>
              </w:rPr>
              <w:t>Tymczasowe konstrukcje stosowane na placu budowy -- Część 1: Rusztowania -- Warunki wykonania i ogólne zasady projektowania</w:t>
            </w:r>
            <w:r w:rsidR="002C2B59" w:rsidRPr="003E4273">
              <w:rPr>
                <w:rFonts w:ascii="Lato" w:hAnsi="Lato" w:cs="Arial"/>
                <w:color w:val="auto"/>
                <w:sz w:val="20"/>
                <w:szCs w:val="20"/>
              </w:rPr>
              <w:t>.</w:t>
            </w:r>
          </w:p>
        </w:tc>
      </w:tr>
    </w:tbl>
    <w:p w14:paraId="5A80392D" w14:textId="3A689F89" w:rsidR="00163219" w:rsidRPr="003E4273" w:rsidRDefault="00B83AFC" w:rsidP="00B83AFC">
      <w:pPr>
        <w:tabs>
          <w:tab w:val="center" w:pos="1560"/>
          <w:tab w:val="center" w:pos="5529"/>
        </w:tabs>
        <w:spacing w:after="0"/>
        <w:ind w:left="-15" w:righ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3E4273">
        <w:rPr>
          <w:rFonts w:ascii="Lato" w:hAnsi="Lato" w:cs="Arial"/>
          <w:color w:val="auto"/>
          <w:sz w:val="20"/>
          <w:szCs w:val="20"/>
        </w:rPr>
        <w:t xml:space="preserve"> </w:t>
      </w:r>
    </w:p>
    <w:sectPr w:rsidR="00163219" w:rsidRPr="003E4273" w:rsidSect="00051E5C">
      <w:headerReference w:type="default" r:id="rId8"/>
      <w:footerReference w:type="even" r:id="rId9"/>
      <w:footerReference w:type="default" r:id="rId10"/>
      <w:footerReference w:type="first" r:id="rId11"/>
      <w:pgSz w:w="11900" w:h="16840"/>
      <w:pgMar w:top="1207" w:right="1206" w:bottom="1180" w:left="1207" w:header="708" w:footer="52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38F28F" w14:textId="77777777" w:rsidR="00C706FD" w:rsidRDefault="00C706FD">
      <w:pPr>
        <w:spacing w:after="0" w:line="240" w:lineRule="auto"/>
      </w:pPr>
      <w:r>
        <w:separator/>
      </w:r>
    </w:p>
  </w:endnote>
  <w:endnote w:type="continuationSeparator" w:id="0">
    <w:p w14:paraId="28A2EE67" w14:textId="77777777" w:rsidR="00C706FD" w:rsidRDefault="00C70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C9A997" w14:textId="77777777" w:rsidR="00163219" w:rsidRDefault="002C2B59">
    <w:pPr>
      <w:spacing w:after="0"/>
      <w:ind w:left="1848" w:right="284" w:hanging="595"/>
      <w:jc w:val="left"/>
    </w:pPr>
    <w:r>
      <w:rPr>
        <w:sz w:val="18"/>
      </w:rPr>
      <w:t xml:space="preserve">Specyfikacja została sporządzona w systemie                       na podstawie </w:t>
    </w:r>
    <w:proofErr w:type="spellStart"/>
    <w:r>
      <w:rPr>
        <w:sz w:val="18"/>
      </w:rPr>
      <w:t>standardowej</w:t>
    </w:r>
    <w:r>
      <w:rPr>
        <w:color w:val="004E92"/>
        <w:sz w:val="18"/>
      </w:rPr>
      <w:t>SEKO</w:t>
    </w:r>
    <w:r>
      <w:rPr>
        <w:color w:val="3399CC"/>
      </w:rPr>
      <w:t>spec</w:t>
    </w:r>
    <w:r>
      <w:rPr>
        <w:color w:val="004E92"/>
        <w:sz w:val="18"/>
      </w:rPr>
      <w:t>SEKO</w:t>
    </w:r>
    <w:r>
      <w:rPr>
        <w:color w:val="3399CC"/>
      </w:rPr>
      <w:t>spec</w:t>
    </w:r>
    <w:proofErr w:type="spellEnd"/>
    <w:r>
      <w:rPr>
        <w:color w:val="3399CC"/>
      </w:rPr>
      <w:t xml:space="preserve"> </w:t>
    </w:r>
    <w:r>
      <w:rPr>
        <w:sz w:val="18"/>
      </w:rPr>
      <w:t xml:space="preserve">specyfikacji technicznej opracowanej przez OWEOB Promocja Sp. z </w:t>
    </w:r>
    <w:proofErr w:type="spellStart"/>
    <w:r>
      <w:rPr>
        <w:sz w:val="18"/>
      </w:rPr>
      <w:t>o.o.OWEOB</w:t>
    </w:r>
    <w:proofErr w:type="spellEnd"/>
    <w:r>
      <w:rPr>
        <w:sz w:val="18"/>
      </w:rPr>
      <w:t xml:space="preserve"> Promocja Sp. z o.o. 2005</w:t>
    </w:r>
  </w:p>
  <w:p w14:paraId="517BCD7C" w14:textId="77777777" w:rsidR="00163219" w:rsidRDefault="002C2B59">
    <w:pPr>
      <w:spacing w:after="0" w:line="259" w:lineRule="auto"/>
      <w:ind w:left="0" w:right="-11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1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462DBC" w14:textId="77777777" w:rsidR="00F12283" w:rsidRDefault="00F12283" w:rsidP="00F12283">
    <w:pPr>
      <w:spacing w:after="0" w:line="259" w:lineRule="auto"/>
      <w:ind w:left="0" w:right="-116" w:firstLine="0"/>
      <w:jc w:val="right"/>
    </w:pPr>
    <w:r>
      <w:rPr>
        <w:sz w:val="20"/>
      </w:rPr>
      <w:fldChar w:fldCharType="begin"/>
    </w:r>
    <w:r>
      <w:instrText xml:space="preserve"> PAGE   \* MERGEFORMAT </w:instrText>
    </w:r>
    <w:r>
      <w:rPr>
        <w:sz w:val="20"/>
      </w:rPr>
      <w:fldChar w:fldCharType="separate"/>
    </w:r>
    <w:r>
      <w:t>3</w:t>
    </w:r>
    <w:r>
      <w:rPr>
        <w:sz w:val="18"/>
      </w:rPr>
      <w:fldChar w:fldCharType="end"/>
    </w:r>
  </w:p>
  <w:p w14:paraId="275F081C" w14:textId="77777777" w:rsidR="00184323" w:rsidRPr="00184323" w:rsidRDefault="00184323" w:rsidP="00F12283">
    <w:pPr>
      <w:pStyle w:val="Stopka"/>
      <w:ind w:left="0" w:firstLine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BA84FC" w14:textId="77777777" w:rsidR="00163219" w:rsidRDefault="002C2B59">
    <w:pPr>
      <w:spacing w:after="0" w:line="259" w:lineRule="auto"/>
      <w:ind w:left="0" w:right="-11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1</w:t>
    </w:r>
    <w:r>
      <w:rPr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8199CC" w14:textId="77777777" w:rsidR="00C706FD" w:rsidRDefault="00C706FD">
      <w:pPr>
        <w:spacing w:after="0" w:line="240" w:lineRule="auto"/>
      </w:pPr>
      <w:r>
        <w:separator/>
      </w:r>
    </w:p>
  </w:footnote>
  <w:footnote w:type="continuationSeparator" w:id="0">
    <w:p w14:paraId="4021D55B" w14:textId="77777777" w:rsidR="00C706FD" w:rsidRDefault="00C706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BEAE92" w14:textId="7FBAF2E4" w:rsidR="00051E5C" w:rsidRDefault="00051E5C" w:rsidP="009672E7">
    <w:pPr>
      <w:pStyle w:val="Nagwek"/>
      <w:ind w:left="0" w:firstLine="0"/>
    </w:pPr>
  </w:p>
  <w:p w14:paraId="0A34C266" w14:textId="77777777" w:rsidR="00051E5C" w:rsidRDefault="00051E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B3CC1"/>
    <w:multiLevelType w:val="multilevel"/>
    <w:tmpl w:val="FE70A8B8"/>
    <w:lvl w:ilvl="0">
      <w:start w:val="9"/>
      <w:numFmt w:val="decimal"/>
      <w:lvlText w:val="%1."/>
      <w:lvlJc w:val="left"/>
      <w:pPr>
        <w:ind w:left="451"/>
      </w:pPr>
      <w:rPr>
        <w:rFonts w:ascii="Arial" w:eastAsia="Calibri" w:hAnsi="Arial" w:cs="Arial" w:hint="default"/>
        <w:b/>
        <w:bCs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1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9A120A5"/>
    <w:multiLevelType w:val="multilevel"/>
    <w:tmpl w:val="FAF87EDA"/>
    <w:lvl w:ilvl="0">
      <w:start w:val="3"/>
      <w:numFmt w:val="decimal"/>
      <w:lvlText w:val="%1."/>
      <w:lvlJc w:val="left"/>
      <w:pPr>
        <w:ind w:left="451"/>
      </w:pPr>
      <w:rPr>
        <w:rFonts w:ascii="Arial" w:eastAsia="Calibri" w:hAnsi="Arial" w:cs="Arial" w:hint="default"/>
        <w:b/>
        <w:bCs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1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174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7111015"/>
    <w:multiLevelType w:val="multilevel"/>
    <w:tmpl w:val="13422690"/>
    <w:lvl w:ilvl="0">
      <w:start w:val="2"/>
      <w:numFmt w:val="decimal"/>
      <w:lvlText w:val="%1."/>
      <w:lvlJc w:val="left"/>
      <w:pPr>
        <w:ind w:left="451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1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9BC7608"/>
    <w:multiLevelType w:val="hybridMultilevel"/>
    <w:tmpl w:val="A448EC3E"/>
    <w:lvl w:ilvl="0" w:tplc="B85E7468">
      <w:start w:val="10"/>
      <w:numFmt w:val="decimal"/>
      <w:lvlText w:val="%1."/>
      <w:lvlJc w:val="left"/>
      <w:pPr>
        <w:ind w:left="451"/>
      </w:pPr>
      <w:rPr>
        <w:rFonts w:ascii="Arial" w:eastAsia="Calibri" w:hAnsi="Arial" w:cs="Arial" w:hint="default"/>
        <w:b/>
        <w:bCs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52BE9CD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666AB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DEEC5D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D280D6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510A0C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A4EC9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126201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84275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E247825"/>
    <w:multiLevelType w:val="hybridMultilevel"/>
    <w:tmpl w:val="E71A74A6"/>
    <w:lvl w:ilvl="0" w:tplc="8C46F4C0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69A3172">
      <w:start w:val="1"/>
      <w:numFmt w:val="bullet"/>
      <w:lvlText w:val="o"/>
      <w:lvlJc w:val="left"/>
      <w:pPr>
        <w:ind w:left="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1168726">
      <w:start w:val="1"/>
      <w:numFmt w:val="bullet"/>
      <w:lvlText w:val="▪"/>
      <w:lvlJc w:val="left"/>
      <w:pPr>
        <w:ind w:left="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A340B0A">
      <w:start w:val="1"/>
      <w:numFmt w:val="bullet"/>
      <w:lvlRestart w:val="0"/>
      <w:lvlText w:val="•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CC883D6">
      <w:start w:val="1"/>
      <w:numFmt w:val="bullet"/>
      <w:lvlText w:val="o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D068DC">
      <w:start w:val="1"/>
      <w:numFmt w:val="bullet"/>
      <w:lvlText w:val="▪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EAE9476">
      <w:start w:val="1"/>
      <w:numFmt w:val="bullet"/>
      <w:lvlText w:val="•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68670C0">
      <w:start w:val="1"/>
      <w:numFmt w:val="bullet"/>
      <w:lvlText w:val="o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83463CC">
      <w:start w:val="1"/>
      <w:numFmt w:val="bullet"/>
      <w:lvlText w:val="▪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EF67B3D"/>
    <w:multiLevelType w:val="hybridMultilevel"/>
    <w:tmpl w:val="6C14BD24"/>
    <w:lvl w:ilvl="0" w:tplc="8BACCE20">
      <w:start w:val="1"/>
      <w:numFmt w:val="bullet"/>
      <w:lvlText w:val="–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B4C2DB8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2C484D4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72E7636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474B868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81E5EEA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F06583A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63ADD26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064EE66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1D63AF2"/>
    <w:multiLevelType w:val="hybridMultilevel"/>
    <w:tmpl w:val="009A7758"/>
    <w:lvl w:ilvl="0" w:tplc="221E5BA8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A76BB9A">
      <w:start w:val="1"/>
      <w:numFmt w:val="bullet"/>
      <w:lvlText w:val="o"/>
      <w:lvlJc w:val="left"/>
      <w:pPr>
        <w:ind w:left="5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2C484D4">
      <w:start w:val="1"/>
      <w:numFmt w:val="bullet"/>
      <w:lvlText w:val="▪"/>
      <w:lvlJc w:val="left"/>
      <w:pPr>
        <w:ind w:left="108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1EA8200">
      <w:start w:val="1"/>
      <w:numFmt w:val="bullet"/>
      <w:lvlText w:val="•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EAC1B94">
      <w:start w:val="1"/>
      <w:numFmt w:val="bullet"/>
      <w:lvlText w:val="o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326FE86">
      <w:start w:val="1"/>
      <w:numFmt w:val="bullet"/>
      <w:lvlText w:val="▪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1272BC">
      <w:start w:val="1"/>
      <w:numFmt w:val="bullet"/>
      <w:lvlText w:val="•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CE4A34">
      <w:start w:val="1"/>
      <w:numFmt w:val="bullet"/>
      <w:lvlText w:val="o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4BA9F7A">
      <w:start w:val="1"/>
      <w:numFmt w:val="bullet"/>
      <w:lvlText w:val="▪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5DE60A9"/>
    <w:multiLevelType w:val="multilevel"/>
    <w:tmpl w:val="E4644F6E"/>
    <w:lvl w:ilvl="0">
      <w:start w:val="7"/>
      <w:numFmt w:val="decimal"/>
      <w:lvlText w:val="%1."/>
      <w:lvlJc w:val="left"/>
      <w:pPr>
        <w:ind w:left="451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1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92537FA"/>
    <w:multiLevelType w:val="hybridMultilevel"/>
    <w:tmpl w:val="7EB2188E"/>
    <w:lvl w:ilvl="0" w:tplc="4216A794">
      <w:start w:val="1"/>
      <w:numFmt w:val="bullet"/>
      <w:lvlText w:val="–"/>
      <w:lvlJc w:val="left"/>
      <w:pPr>
        <w:ind w:left="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9FE67AC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F3A199A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DD0539C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6C62CE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3C5B76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1D659C0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FFC86DA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76EBA8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D711577"/>
    <w:multiLevelType w:val="multilevel"/>
    <w:tmpl w:val="77A8D1B6"/>
    <w:lvl w:ilvl="0">
      <w:start w:val="5"/>
      <w:numFmt w:val="decimal"/>
      <w:lvlText w:val="%1."/>
      <w:lvlJc w:val="left"/>
      <w:pPr>
        <w:ind w:left="451"/>
      </w:pPr>
      <w:rPr>
        <w:rFonts w:ascii="Arial" w:eastAsia="Calibri" w:hAnsi="Arial" w:cs="Arial" w:hint="default"/>
        <w:b/>
        <w:bCs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1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55A7DDA"/>
    <w:multiLevelType w:val="hybridMultilevel"/>
    <w:tmpl w:val="BEBCB2AE"/>
    <w:lvl w:ilvl="0" w:tplc="2F30C770">
      <w:start w:val="1"/>
      <w:numFmt w:val="bullet"/>
      <w:lvlText w:val="–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4F4E6CC">
      <w:start w:val="1"/>
      <w:numFmt w:val="bullet"/>
      <w:lvlText w:val="o"/>
      <w:lvlJc w:val="left"/>
      <w:pPr>
        <w:ind w:left="11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22ED1D6">
      <w:start w:val="1"/>
      <w:numFmt w:val="bullet"/>
      <w:lvlText w:val="▪"/>
      <w:lvlJc w:val="left"/>
      <w:pPr>
        <w:ind w:left="18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6A8C852">
      <w:start w:val="1"/>
      <w:numFmt w:val="bullet"/>
      <w:lvlText w:val="•"/>
      <w:lvlJc w:val="left"/>
      <w:pPr>
        <w:ind w:left="26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4789880">
      <w:start w:val="1"/>
      <w:numFmt w:val="bullet"/>
      <w:lvlText w:val="o"/>
      <w:lvlJc w:val="left"/>
      <w:pPr>
        <w:ind w:left="33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85A8D34">
      <w:start w:val="1"/>
      <w:numFmt w:val="bullet"/>
      <w:lvlText w:val="▪"/>
      <w:lvlJc w:val="left"/>
      <w:pPr>
        <w:ind w:left="40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8F028B2">
      <w:start w:val="1"/>
      <w:numFmt w:val="bullet"/>
      <w:lvlText w:val="•"/>
      <w:lvlJc w:val="left"/>
      <w:pPr>
        <w:ind w:left="47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A268DB8">
      <w:start w:val="1"/>
      <w:numFmt w:val="bullet"/>
      <w:lvlText w:val="o"/>
      <w:lvlJc w:val="left"/>
      <w:pPr>
        <w:ind w:left="54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1461FC2">
      <w:start w:val="1"/>
      <w:numFmt w:val="bullet"/>
      <w:lvlText w:val="▪"/>
      <w:lvlJc w:val="left"/>
      <w:pPr>
        <w:ind w:left="62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B3F0DC7"/>
    <w:multiLevelType w:val="multilevel"/>
    <w:tmpl w:val="44166414"/>
    <w:lvl w:ilvl="0">
      <w:start w:val="1"/>
      <w:numFmt w:val="decimal"/>
      <w:lvlText w:val="%1."/>
      <w:lvlJc w:val="left"/>
      <w:pPr>
        <w:ind w:left="451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1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B4B632D"/>
    <w:multiLevelType w:val="hybridMultilevel"/>
    <w:tmpl w:val="24423F7E"/>
    <w:lvl w:ilvl="0" w:tplc="22FEB100">
      <w:start w:val="1"/>
      <w:numFmt w:val="bullet"/>
      <w:lvlText w:val="–"/>
      <w:lvlJc w:val="left"/>
      <w:pPr>
        <w:ind w:left="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ABA38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C08CF90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908B9B2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4888D62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C66514C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720FF04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43C890A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AA23574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D6E5FBE"/>
    <w:multiLevelType w:val="hybridMultilevel"/>
    <w:tmpl w:val="23062394"/>
    <w:lvl w:ilvl="0" w:tplc="363C2A6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7C2236A">
      <w:start w:val="1"/>
      <w:numFmt w:val="lowerLetter"/>
      <w:lvlText w:val="%2"/>
      <w:lvlJc w:val="left"/>
      <w:pPr>
        <w:ind w:left="5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7C6A088">
      <w:start w:val="1"/>
      <w:numFmt w:val="lowerLetter"/>
      <w:lvlRestart w:val="0"/>
      <w:lvlText w:val="%3)"/>
      <w:lvlJc w:val="left"/>
      <w:pPr>
        <w:ind w:left="571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7FE7728">
      <w:start w:val="1"/>
      <w:numFmt w:val="decimal"/>
      <w:lvlText w:val="%4"/>
      <w:lvlJc w:val="left"/>
      <w:pPr>
        <w:ind w:left="1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BDCDDE4">
      <w:start w:val="1"/>
      <w:numFmt w:val="lowerLetter"/>
      <w:lvlText w:val="%5"/>
      <w:lvlJc w:val="left"/>
      <w:pPr>
        <w:ind w:left="2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5E04000">
      <w:start w:val="1"/>
      <w:numFmt w:val="lowerRoman"/>
      <w:lvlText w:val="%6"/>
      <w:lvlJc w:val="left"/>
      <w:pPr>
        <w:ind w:left="2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4E46136">
      <w:start w:val="1"/>
      <w:numFmt w:val="decimal"/>
      <w:lvlText w:val="%7"/>
      <w:lvlJc w:val="left"/>
      <w:pPr>
        <w:ind w:left="3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FAC3310">
      <w:start w:val="1"/>
      <w:numFmt w:val="lowerLetter"/>
      <w:lvlText w:val="%8"/>
      <w:lvlJc w:val="left"/>
      <w:pPr>
        <w:ind w:left="4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AEA0DC6">
      <w:start w:val="1"/>
      <w:numFmt w:val="lowerRoman"/>
      <w:lvlText w:val="%9"/>
      <w:lvlJc w:val="left"/>
      <w:pPr>
        <w:ind w:left="49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21858B3"/>
    <w:multiLevelType w:val="hybridMultilevel"/>
    <w:tmpl w:val="097423DA"/>
    <w:lvl w:ilvl="0" w:tplc="B44EC244">
      <w:start w:val="1"/>
      <w:numFmt w:val="bullet"/>
      <w:lvlText w:val="–"/>
      <w:lvlJc w:val="left"/>
      <w:pPr>
        <w:ind w:left="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1E2B15E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A4203C6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A825DBC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ADACCBC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C30BF84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C9ECD5A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0AC8600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2543AC6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2600FC5"/>
    <w:multiLevelType w:val="hybridMultilevel"/>
    <w:tmpl w:val="686C7D94"/>
    <w:lvl w:ilvl="0" w:tplc="FB1CE3F6">
      <w:start w:val="1"/>
      <w:numFmt w:val="bullet"/>
      <w:lvlText w:val="–"/>
      <w:lvlJc w:val="left"/>
      <w:pPr>
        <w:ind w:left="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4FC6C3C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C8E5B22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D9ACD6E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4D29B28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EACCF72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458DC20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E941A06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DC2068A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37F2516"/>
    <w:multiLevelType w:val="hybridMultilevel"/>
    <w:tmpl w:val="D1DEBBEE"/>
    <w:lvl w:ilvl="0" w:tplc="0A48CDC8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886F49C">
      <w:start w:val="1"/>
      <w:numFmt w:val="bullet"/>
      <w:lvlText w:val="o"/>
      <w:lvlJc w:val="left"/>
      <w:pPr>
        <w:ind w:left="5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0761C06">
      <w:start w:val="1"/>
      <w:numFmt w:val="bullet"/>
      <w:lvlText w:val="▪"/>
      <w:lvlJc w:val="left"/>
      <w:pPr>
        <w:ind w:left="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7DC07EA">
      <w:start w:val="1"/>
      <w:numFmt w:val="bullet"/>
      <w:lvlRestart w:val="0"/>
      <w:lvlText w:val="•"/>
      <w:lvlJc w:val="left"/>
      <w:pPr>
        <w:ind w:left="8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08E65E6">
      <w:start w:val="1"/>
      <w:numFmt w:val="bullet"/>
      <w:lvlText w:val="o"/>
      <w:lvlJc w:val="left"/>
      <w:pPr>
        <w:ind w:left="15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97CFD2E">
      <w:start w:val="1"/>
      <w:numFmt w:val="bullet"/>
      <w:lvlText w:val="▪"/>
      <w:lvlJc w:val="left"/>
      <w:pPr>
        <w:ind w:left="22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3FE9080">
      <w:start w:val="1"/>
      <w:numFmt w:val="bullet"/>
      <w:lvlText w:val="•"/>
      <w:lvlJc w:val="left"/>
      <w:pPr>
        <w:ind w:left="29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F46CF9E">
      <w:start w:val="1"/>
      <w:numFmt w:val="bullet"/>
      <w:lvlText w:val="o"/>
      <w:lvlJc w:val="left"/>
      <w:pPr>
        <w:ind w:left="36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2B0F6F8">
      <w:start w:val="1"/>
      <w:numFmt w:val="bullet"/>
      <w:lvlText w:val="▪"/>
      <w:lvlJc w:val="left"/>
      <w:pPr>
        <w:ind w:left="43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0702593"/>
    <w:multiLevelType w:val="hybridMultilevel"/>
    <w:tmpl w:val="62D88FB4"/>
    <w:lvl w:ilvl="0" w:tplc="930225D0">
      <w:start w:val="1"/>
      <w:numFmt w:val="bullet"/>
      <w:lvlText w:val="–"/>
      <w:lvlJc w:val="left"/>
      <w:pPr>
        <w:ind w:left="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75AF22C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96105C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51C471A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761156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2D49156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A0EF63E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F006C72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992092E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620411E"/>
    <w:multiLevelType w:val="hybridMultilevel"/>
    <w:tmpl w:val="965855B0"/>
    <w:lvl w:ilvl="0" w:tplc="C03C58E2">
      <w:start w:val="1"/>
      <w:numFmt w:val="bullet"/>
      <w:lvlText w:val="–"/>
      <w:lvlJc w:val="left"/>
      <w:pPr>
        <w:ind w:left="3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B7680CA">
      <w:start w:val="1"/>
      <w:numFmt w:val="bullet"/>
      <w:lvlText w:val="o"/>
      <w:lvlJc w:val="left"/>
      <w:pPr>
        <w:ind w:left="1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320A2D6">
      <w:start w:val="1"/>
      <w:numFmt w:val="bullet"/>
      <w:lvlText w:val="▪"/>
      <w:lvlJc w:val="left"/>
      <w:pPr>
        <w:ind w:left="1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D6AA8D6">
      <w:start w:val="1"/>
      <w:numFmt w:val="bullet"/>
      <w:lvlText w:val="•"/>
      <w:lvlJc w:val="left"/>
      <w:pPr>
        <w:ind w:left="2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6A4AA20">
      <w:start w:val="1"/>
      <w:numFmt w:val="bullet"/>
      <w:lvlText w:val="o"/>
      <w:lvlJc w:val="left"/>
      <w:pPr>
        <w:ind w:left="3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4A4D97A">
      <w:start w:val="1"/>
      <w:numFmt w:val="bullet"/>
      <w:lvlText w:val="▪"/>
      <w:lvlJc w:val="left"/>
      <w:pPr>
        <w:ind w:left="4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53C1C22">
      <w:start w:val="1"/>
      <w:numFmt w:val="bullet"/>
      <w:lvlText w:val="•"/>
      <w:lvlJc w:val="left"/>
      <w:pPr>
        <w:ind w:left="4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B9E06DA">
      <w:start w:val="1"/>
      <w:numFmt w:val="bullet"/>
      <w:lvlText w:val="o"/>
      <w:lvlJc w:val="left"/>
      <w:pPr>
        <w:ind w:left="5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820CD3C">
      <w:start w:val="1"/>
      <w:numFmt w:val="bullet"/>
      <w:lvlText w:val="▪"/>
      <w:lvlJc w:val="left"/>
      <w:pPr>
        <w:ind w:left="6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C5D36A0"/>
    <w:multiLevelType w:val="hybridMultilevel"/>
    <w:tmpl w:val="966C455E"/>
    <w:lvl w:ilvl="0" w:tplc="BBDC9F12">
      <w:start w:val="1"/>
      <w:numFmt w:val="bullet"/>
      <w:lvlText w:val="–"/>
      <w:lvlJc w:val="left"/>
      <w:pPr>
        <w:ind w:left="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F684F5E">
      <w:start w:val="1"/>
      <w:numFmt w:val="bullet"/>
      <w:lvlText w:val="o"/>
      <w:lvlJc w:val="left"/>
      <w:pPr>
        <w:ind w:left="11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7EA6660">
      <w:start w:val="1"/>
      <w:numFmt w:val="bullet"/>
      <w:lvlText w:val="▪"/>
      <w:lvlJc w:val="left"/>
      <w:pPr>
        <w:ind w:left="18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9044198">
      <w:start w:val="1"/>
      <w:numFmt w:val="bullet"/>
      <w:lvlText w:val="•"/>
      <w:lvlJc w:val="left"/>
      <w:pPr>
        <w:ind w:left="25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3EA386A">
      <w:start w:val="1"/>
      <w:numFmt w:val="bullet"/>
      <w:lvlText w:val="o"/>
      <w:lvlJc w:val="left"/>
      <w:pPr>
        <w:ind w:left="32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F749CA6">
      <w:start w:val="1"/>
      <w:numFmt w:val="bullet"/>
      <w:lvlText w:val="▪"/>
      <w:lvlJc w:val="left"/>
      <w:pPr>
        <w:ind w:left="39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7F2B21E">
      <w:start w:val="1"/>
      <w:numFmt w:val="bullet"/>
      <w:lvlText w:val="•"/>
      <w:lvlJc w:val="left"/>
      <w:pPr>
        <w:ind w:left="47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6700DDE">
      <w:start w:val="1"/>
      <w:numFmt w:val="bullet"/>
      <w:lvlText w:val="o"/>
      <w:lvlJc w:val="left"/>
      <w:pPr>
        <w:ind w:left="5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BD68D0E">
      <w:start w:val="1"/>
      <w:numFmt w:val="bullet"/>
      <w:lvlText w:val="▪"/>
      <w:lvlJc w:val="left"/>
      <w:pPr>
        <w:ind w:left="61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D66581E"/>
    <w:multiLevelType w:val="hybridMultilevel"/>
    <w:tmpl w:val="5A3E7BF4"/>
    <w:lvl w:ilvl="0" w:tplc="C76E3CFA">
      <w:start w:val="1"/>
      <w:numFmt w:val="bullet"/>
      <w:lvlText w:val="–"/>
      <w:lvlJc w:val="left"/>
      <w:pPr>
        <w:ind w:left="3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8EEF76E">
      <w:start w:val="1"/>
      <w:numFmt w:val="bullet"/>
      <w:lvlText w:val="o"/>
      <w:lvlJc w:val="left"/>
      <w:pPr>
        <w:ind w:left="1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91EA5B6">
      <w:start w:val="1"/>
      <w:numFmt w:val="bullet"/>
      <w:lvlText w:val="▪"/>
      <w:lvlJc w:val="left"/>
      <w:pPr>
        <w:ind w:left="1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FEE9A54">
      <w:start w:val="1"/>
      <w:numFmt w:val="bullet"/>
      <w:lvlText w:val="•"/>
      <w:lvlJc w:val="left"/>
      <w:pPr>
        <w:ind w:left="2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EF85AFA">
      <w:start w:val="1"/>
      <w:numFmt w:val="bullet"/>
      <w:lvlText w:val="o"/>
      <w:lvlJc w:val="left"/>
      <w:pPr>
        <w:ind w:left="3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468BD4">
      <w:start w:val="1"/>
      <w:numFmt w:val="bullet"/>
      <w:lvlText w:val="▪"/>
      <w:lvlJc w:val="left"/>
      <w:pPr>
        <w:ind w:left="4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ABE336A">
      <w:start w:val="1"/>
      <w:numFmt w:val="bullet"/>
      <w:lvlText w:val="•"/>
      <w:lvlJc w:val="left"/>
      <w:pPr>
        <w:ind w:left="4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B0CCA52">
      <w:start w:val="1"/>
      <w:numFmt w:val="bullet"/>
      <w:lvlText w:val="o"/>
      <w:lvlJc w:val="left"/>
      <w:pPr>
        <w:ind w:left="5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1EA6ABA">
      <w:start w:val="1"/>
      <w:numFmt w:val="bullet"/>
      <w:lvlText w:val="▪"/>
      <w:lvlJc w:val="left"/>
      <w:pPr>
        <w:ind w:left="6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2AA5A10"/>
    <w:multiLevelType w:val="multilevel"/>
    <w:tmpl w:val="B8C28CB6"/>
    <w:lvl w:ilvl="0">
      <w:start w:val="6"/>
      <w:numFmt w:val="decimal"/>
      <w:lvlText w:val="%1."/>
      <w:lvlJc w:val="left"/>
      <w:pPr>
        <w:ind w:left="451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91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C5C4E81"/>
    <w:multiLevelType w:val="hybridMultilevel"/>
    <w:tmpl w:val="D736C1F4"/>
    <w:lvl w:ilvl="0" w:tplc="62C484D4">
      <w:start w:val="1"/>
      <w:numFmt w:val="bullet"/>
      <w:lvlText w:val="▪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0F325F"/>
    <w:multiLevelType w:val="hybridMultilevel"/>
    <w:tmpl w:val="F9D609F4"/>
    <w:lvl w:ilvl="0" w:tplc="458C710A">
      <w:start w:val="1"/>
      <w:numFmt w:val="decimal"/>
      <w:lvlText w:val="%1."/>
      <w:lvlJc w:val="left"/>
      <w:pPr>
        <w:ind w:left="370"/>
      </w:pPr>
      <w:rPr>
        <w:rFonts w:ascii="Lato" w:eastAsia="Calibri" w:hAnsi="Lato" w:cs="Arial" w:hint="default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1AACEA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C5A1FC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91E0F5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536A24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9B4532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F76F44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2327E3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DF67A0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2085CE5"/>
    <w:multiLevelType w:val="hybridMultilevel"/>
    <w:tmpl w:val="137CFED4"/>
    <w:lvl w:ilvl="0" w:tplc="B9F46544">
      <w:start w:val="1"/>
      <w:numFmt w:val="bullet"/>
      <w:lvlText w:val="–"/>
      <w:lvlJc w:val="left"/>
      <w:pPr>
        <w:ind w:left="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FAE4E9C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54075CE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760CB5A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CFECA2E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B8057F2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E9EAC18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6160D84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C62F082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9B86038"/>
    <w:multiLevelType w:val="hybridMultilevel"/>
    <w:tmpl w:val="0CDEDD00"/>
    <w:lvl w:ilvl="0" w:tplc="E8942438">
      <w:start w:val="1"/>
      <w:numFmt w:val="bullet"/>
      <w:lvlText w:val="–"/>
      <w:lvlJc w:val="left"/>
      <w:pPr>
        <w:ind w:left="4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4429556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E22CEE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F14AEE4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E4C99F2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49C1646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1D2F634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EAC2E8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9EED4BC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95574417">
    <w:abstractNumId w:val="23"/>
  </w:num>
  <w:num w:numId="2" w16cid:durableId="1640112225">
    <w:abstractNumId w:val="11"/>
  </w:num>
  <w:num w:numId="3" w16cid:durableId="526917894">
    <w:abstractNumId w:val="5"/>
  </w:num>
  <w:num w:numId="4" w16cid:durableId="2044556129">
    <w:abstractNumId w:val="2"/>
  </w:num>
  <w:num w:numId="5" w16cid:durableId="1675258756">
    <w:abstractNumId w:val="12"/>
  </w:num>
  <w:num w:numId="6" w16cid:durableId="254825815">
    <w:abstractNumId w:val="16"/>
  </w:num>
  <w:num w:numId="7" w16cid:durableId="1279141833">
    <w:abstractNumId w:val="1"/>
  </w:num>
  <w:num w:numId="8" w16cid:durableId="1896047036">
    <w:abstractNumId w:val="4"/>
  </w:num>
  <w:num w:numId="9" w16cid:durableId="1428231072">
    <w:abstractNumId w:val="15"/>
  </w:num>
  <w:num w:numId="10" w16cid:durableId="969358829">
    <w:abstractNumId w:val="9"/>
  </w:num>
  <w:num w:numId="11" w16cid:durableId="1187525792">
    <w:abstractNumId w:val="17"/>
  </w:num>
  <w:num w:numId="12" w16cid:durableId="211966179">
    <w:abstractNumId w:val="25"/>
  </w:num>
  <w:num w:numId="13" w16cid:durableId="441346577">
    <w:abstractNumId w:val="14"/>
  </w:num>
  <w:num w:numId="14" w16cid:durableId="3558541">
    <w:abstractNumId w:val="21"/>
  </w:num>
  <w:num w:numId="15" w16cid:durableId="1141726698">
    <w:abstractNumId w:val="10"/>
  </w:num>
  <w:num w:numId="16" w16cid:durableId="69618045">
    <w:abstractNumId w:val="6"/>
  </w:num>
  <w:num w:numId="17" w16cid:durableId="1866676514">
    <w:abstractNumId w:val="13"/>
  </w:num>
  <w:num w:numId="18" w16cid:durableId="1190871486">
    <w:abstractNumId w:val="24"/>
  </w:num>
  <w:num w:numId="19" w16cid:durableId="706376861">
    <w:abstractNumId w:val="7"/>
  </w:num>
  <w:num w:numId="20" w16cid:durableId="425417949">
    <w:abstractNumId w:val="19"/>
  </w:num>
  <w:num w:numId="21" w16cid:durableId="2127768881">
    <w:abstractNumId w:val="0"/>
  </w:num>
  <w:num w:numId="22" w16cid:durableId="469248815">
    <w:abstractNumId w:val="8"/>
  </w:num>
  <w:num w:numId="23" w16cid:durableId="179202751">
    <w:abstractNumId w:val="18"/>
  </w:num>
  <w:num w:numId="24" w16cid:durableId="1689209113">
    <w:abstractNumId w:val="20"/>
  </w:num>
  <w:num w:numId="25" w16cid:durableId="541131647">
    <w:abstractNumId w:val="3"/>
  </w:num>
  <w:num w:numId="26" w16cid:durableId="138707130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219"/>
    <w:rsid w:val="00042354"/>
    <w:rsid w:val="00051E5C"/>
    <w:rsid w:val="00056D51"/>
    <w:rsid w:val="000A7055"/>
    <w:rsid w:val="000C4430"/>
    <w:rsid w:val="00147678"/>
    <w:rsid w:val="00163219"/>
    <w:rsid w:val="0017619B"/>
    <w:rsid w:val="00184323"/>
    <w:rsid w:val="00185B12"/>
    <w:rsid w:val="00191A05"/>
    <w:rsid w:val="001E4E30"/>
    <w:rsid w:val="001F2B07"/>
    <w:rsid w:val="00272AEB"/>
    <w:rsid w:val="00286FAB"/>
    <w:rsid w:val="00297CD0"/>
    <w:rsid w:val="002A55DC"/>
    <w:rsid w:val="002A5F43"/>
    <w:rsid w:val="002C2B59"/>
    <w:rsid w:val="002D616B"/>
    <w:rsid w:val="002D7715"/>
    <w:rsid w:val="00316E05"/>
    <w:rsid w:val="0032475B"/>
    <w:rsid w:val="003706F0"/>
    <w:rsid w:val="003C22D6"/>
    <w:rsid w:val="003E4273"/>
    <w:rsid w:val="00423D23"/>
    <w:rsid w:val="004418B5"/>
    <w:rsid w:val="004448A7"/>
    <w:rsid w:val="00457E83"/>
    <w:rsid w:val="00470966"/>
    <w:rsid w:val="00472E5C"/>
    <w:rsid w:val="004A58F1"/>
    <w:rsid w:val="004B7F80"/>
    <w:rsid w:val="00526112"/>
    <w:rsid w:val="005839CE"/>
    <w:rsid w:val="006A4093"/>
    <w:rsid w:val="006D0B82"/>
    <w:rsid w:val="006E0E9A"/>
    <w:rsid w:val="006F3817"/>
    <w:rsid w:val="007424A5"/>
    <w:rsid w:val="007424EA"/>
    <w:rsid w:val="0074506A"/>
    <w:rsid w:val="007454C6"/>
    <w:rsid w:val="008541A3"/>
    <w:rsid w:val="00892ED0"/>
    <w:rsid w:val="008C347C"/>
    <w:rsid w:val="008D1BBE"/>
    <w:rsid w:val="008F0B44"/>
    <w:rsid w:val="009672E7"/>
    <w:rsid w:val="009D5D39"/>
    <w:rsid w:val="00A161F1"/>
    <w:rsid w:val="00A434A1"/>
    <w:rsid w:val="00AA3891"/>
    <w:rsid w:val="00B00B8F"/>
    <w:rsid w:val="00B503A0"/>
    <w:rsid w:val="00B51857"/>
    <w:rsid w:val="00B52D12"/>
    <w:rsid w:val="00B83AFC"/>
    <w:rsid w:val="00B968FF"/>
    <w:rsid w:val="00C31022"/>
    <w:rsid w:val="00C421FA"/>
    <w:rsid w:val="00C706FD"/>
    <w:rsid w:val="00CA5847"/>
    <w:rsid w:val="00CB1389"/>
    <w:rsid w:val="00CD19EB"/>
    <w:rsid w:val="00CF5E60"/>
    <w:rsid w:val="00D23CA7"/>
    <w:rsid w:val="00DB1DC6"/>
    <w:rsid w:val="00E574E9"/>
    <w:rsid w:val="00EC3CFD"/>
    <w:rsid w:val="00ED7C61"/>
    <w:rsid w:val="00EE280C"/>
    <w:rsid w:val="00EE431E"/>
    <w:rsid w:val="00EF4E5A"/>
    <w:rsid w:val="00F12283"/>
    <w:rsid w:val="00F156B0"/>
    <w:rsid w:val="00F51359"/>
    <w:rsid w:val="00F5169F"/>
    <w:rsid w:val="00F84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5C1871"/>
  <w15:docId w15:val="{4883F7D0-7F95-489E-BFAA-A62857E82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1" w:line="226" w:lineRule="auto"/>
      <w:ind w:left="10" w:right="64" w:hanging="10"/>
      <w:jc w:val="both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1843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4323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semiHidden/>
    <w:unhideWhenUsed/>
    <w:rsid w:val="001843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84323"/>
    <w:rPr>
      <w:rFonts w:ascii="Calibri" w:eastAsia="Calibri" w:hAnsi="Calibri" w:cs="Calibri"/>
      <w:color w:val="000000"/>
    </w:rPr>
  </w:style>
  <w:style w:type="paragraph" w:styleId="Akapitzlist">
    <w:name w:val="List Paragraph"/>
    <w:basedOn w:val="Normalny"/>
    <w:uiPriority w:val="34"/>
    <w:qFormat/>
    <w:rsid w:val="00191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99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21046-8BCD-4BDF-AF59-5417DE3AE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18</Pages>
  <Words>7874</Words>
  <Characters>47247</Characters>
  <Application>Microsoft Office Word</Application>
  <DocSecurity>0</DocSecurity>
  <Lines>393</Lines>
  <Paragraphs>110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Specyfikacje techniczne</vt:lpstr>
    </vt:vector>
  </TitlesOfParts>
  <Company/>
  <LinksUpToDate>false</LinksUpToDate>
  <CharactersWithSpaces>55011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Specyfikacje techniczne</dc:title>
  <dc:subject/>
  <dc:creator>ewa</dc:creator>
  <cp:keywords/>
  <cp:lastModifiedBy>Paweł Grzybek</cp:lastModifiedBy>
  <cp:revision>43</cp:revision>
  <dcterms:created xsi:type="dcterms:W3CDTF">2022-05-27T12:19:00Z</dcterms:created>
  <dcterms:modified xsi:type="dcterms:W3CDTF">2024-10-10T10:58:00Z</dcterms:modified>
</cp:coreProperties>
</file>